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numPr>
          <w:numId w:val="0"/>
        </w:numPr>
        <w:spacing w:beforeLines="100" w:afterLines="20" w:line="400" w:lineRule="exact"/>
        <w:ind w:leftChars="0"/>
        <w:jc w:val="center"/>
        <w:outlineLvl w:val="4"/>
        <w:rPr>
          <w:rFonts w:hint="eastAsia" w:ascii="宋体" w:hAnsi="宋体" w:cs="宋体"/>
          <w:color w:val="auto"/>
          <w:szCs w:val="21"/>
          <w:highlight w:val="none"/>
        </w:rPr>
      </w:pPr>
      <w:r>
        <w:rPr>
          <w:rFonts w:hint="eastAsia" w:ascii="宋体" w:hAnsi="宋体" w:cs="宋体"/>
          <w:b/>
          <w:bCs/>
          <w:color w:val="auto"/>
          <w:szCs w:val="21"/>
          <w:highlight w:val="none"/>
        </w:rPr>
        <w:t>商务、技术、价格评分表</w:t>
      </w:r>
    </w:p>
    <w:tbl>
      <w:tblPr>
        <w:tblStyle w:val="16"/>
        <w:tblW w:w="0" w:type="auto"/>
        <w:jc w:val="center"/>
        <w:tblBorders>
          <w:top w:val="double" w:color="auto" w:sz="4" w:space="0"/>
          <w:left w:val="double" w:color="auto" w:sz="4" w:space="0"/>
          <w:bottom w:val="double" w:color="auto" w:sz="4" w:space="0"/>
          <w:right w:val="doub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3"/>
        <w:gridCol w:w="897"/>
        <w:gridCol w:w="1599"/>
        <w:gridCol w:w="866"/>
        <w:gridCol w:w="5172"/>
      </w:tblGrid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tblHeader/>
          <w:jc w:val="center"/>
        </w:trPr>
        <w:tc>
          <w:tcPr>
            <w:tcW w:w="633" w:type="dxa"/>
            <w:noWrap w:val="0"/>
            <w:vAlign w:val="center"/>
          </w:tcPr>
          <w:p>
            <w:pPr>
              <w:snapToGrid w:val="0"/>
              <w:spacing w:line="400" w:lineRule="exact"/>
              <w:ind w:left="-38"/>
              <w:jc w:val="center"/>
              <w:rPr>
                <w:rFonts w:hint="eastAsia" w:ascii="宋体" w:hAnsi="宋体" w:cs="宋体"/>
                <w:b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auto"/>
                <w:szCs w:val="21"/>
                <w:highlight w:val="none"/>
              </w:rPr>
              <w:t>序号</w:t>
            </w:r>
          </w:p>
        </w:tc>
        <w:tc>
          <w:tcPr>
            <w:tcW w:w="2496" w:type="dxa"/>
            <w:gridSpan w:val="2"/>
            <w:noWrap w:val="0"/>
            <w:vAlign w:val="center"/>
          </w:tcPr>
          <w:p>
            <w:pPr>
              <w:snapToGrid w:val="0"/>
              <w:spacing w:line="400" w:lineRule="exact"/>
              <w:ind w:left="-38"/>
              <w:jc w:val="center"/>
              <w:rPr>
                <w:rFonts w:hint="eastAsia" w:ascii="宋体" w:hAnsi="宋体" w:cs="宋体"/>
                <w:b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auto"/>
                <w:szCs w:val="21"/>
                <w:highlight w:val="none"/>
              </w:rPr>
              <w:t>评分因素及权重</w:t>
            </w:r>
          </w:p>
        </w:tc>
        <w:tc>
          <w:tcPr>
            <w:tcW w:w="866" w:type="dxa"/>
            <w:noWrap w:val="0"/>
            <w:vAlign w:val="center"/>
          </w:tcPr>
          <w:p>
            <w:pPr>
              <w:snapToGrid w:val="0"/>
              <w:spacing w:line="400" w:lineRule="exact"/>
              <w:ind w:left="-38"/>
              <w:jc w:val="center"/>
              <w:rPr>
                <w:rFonts w:hint="eastAsia" w:ascii="宋体" w:hAnsi="宋体" w:cs="宋体"/>
                <w:b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auto"/>
                <w:szCs w:val="21"/>
                <w:highlight w:val="none"/>
              </w:rPr>
              <w:t>分值</w:t>
            </w:r>
          </w:p>
        </w:tc>
        <w:tc>
          <w:tcPr>
            <w:tcW w:w="5172" w:type="dxa"/>
            <w:noWrap w:val="0"/>
            <w:vAlign w:val="center"/>
          </w:tcPr>
          <w:p>
            <w:pPr>
              <w:snapToGrid w:val="0"/>
              <w:spacing w:line="400" w:lineRule="exact"/>
              <w:ind w:left="-38"/>
              <w:jc w:val="center"/>
              <w:rPr>
                <w:rFonts w:hint="eastAsia" w:ascii="宋体" w:hAnsi="宋体" w:cs="宋体"/>
                <w:b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b/>
                <w:color w:val="auto"/>
                <w:szCs w:val="21"/>
                <w:highlight w:val="none"/>
              </w:rPr>
              <w:t>评分标准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33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</w:t>
            </w:r>
          </w:p>
        </w:tc>
        <w:tc>
          <w:tcPr>
            <w:tcW w:w="2496" w:type="dxa"/>
            <w:gridSpan w:val="2"/>
            <w:noWrap w:val="0"/>
            <w:vAlign w:val="center"/>
          </w:tcPr>
          <w:p>
            <w:pPr>
              <w:spacing w:line="360" w:lineRule="exact"/>
              <w:ind w:left="-38"/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投标报价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0分</w:t>
            </w:r>
          </w:p>
        </w:tc>
        <w:tc>
          <w:tcPr>
            <w:tcW w:w="866" w:type="dxa"/>
            <w:noWrap w:val="0"/>
            <w:vAlign w:val="center"/>
          </w:tcPr>
          <w:p>
            <w:pPr>
              <w:spacing w:line="360" w:lineRule="exact"/>
              <w:ind w:firstLine="28"/>
              <w:jc w:val="center"/>
              <w:rPr>
                <w:rFonts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0</w:t>
            </w:r>
          </w:p>
        </w:tc>
        <w:tc>
          <w:tcPr>
            <w:tcW w:w="5172" w:type="dxa"/>
            <w:noWrap w:val="0"/>
            <w:vAlign w:val="center"/>
          </w:tcPr>
          <w:p>
            <w:pPr>
              <w:pStyle w:val="23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exact"/>
              <w:ind w:firstLine="0" w:firstLineChars="0"/>
              <w:rPr>
                <w:rFonts w:hint="eastAsia" w:ascii="宋体" w:hAnsi="宋体" w:cs="宋体"/>
                <w:color w:val="auto"/>
                <w:spacing w:val="0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pacing w:val="0"/>
                <w:sz w:val="21"/>
                <w:szCs w:val="21"/>
                <w:highlight w:val="none"/>
              </w:rPr>
              <w:t>满足磋商文件要求且最后报价最低的供应商的价格为磋商基准价，其价格分为满分。其他供应商的价格分统一按照下列公式计算：</w:t>
            </w:r>
          </w:p>
          <w:p>
            <w:pPr>
              <w:pStyle w:val="23"/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spacing w:line="360" w:lineRule="exact"/>
              <w:ind w:firstLine="0" w:firstLineChars="0"/>
              <w:rPr>
                <w:rFonts w:ascii="宋体" w:hAnsi="宋体" w:cs="宋体"/>
                <w:color w:val="auto"/>
                <w:sz w:val="21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pacing w:val="0"/>
                <w:sz w:val="21"/>
                <w:szCs w:val="21"/>
                <w:highlight w:val="none"/>
              </w:rPr>
              <w:t>磋商报价计分=（磋商基准价/最后磋商报价）×</w:t>
            </w:r>
            <w:r>
              <w:rPr>
                <w:rFonts w:hint="eastAsia" w:ascii="宋体" w:hAnsi="宋体" w:cs="宋体"/>
                <w:color w:val="auto"/>
                <w:spacing w:val="0"/>
                <w:sz w:val="21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eastAsia" w:ascii="宋体" w:hAnsi="宋体" w:cs="宋体"/>
                <w:color w:val="auto"/>
                <w:spacing w:val="0"/>
                <w:sz w:val="21"/>
                <w:szCs w:val="21"/>
                <w:highlight w:val="none"/>
              </w:rPr>
              <w:t>0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633" w:type="dxa"/>
            <w:vMerge w:val="restart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2</w:t>
            </w:r>
          </w:p>
        </w:tc>
        <w:tc>
          <w:tcPr>
            <w:tcW w:w="897" w:type="dxa"/>
            <w:vMerge w:val="restart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技术部分（30分）</w:t>
            </w:r>
          </w:p>
        </w:tc>
        <w:tc>
          <w:tcPr>
            <w:tcW w:w="1599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color w:val="auto"/>
                <w:szCs w:val="21"/>
                <w:highlight w:val="none"/>
              </w:rPr>
            </w:pPr>
            <w:r>
              <w:rPr>
                <w:rFonts w:hint="eastAsia" w:hAnsi="宋体"/>
                <w:szCs w:val="21"/>
                <w:highlight w:val="none"/>
                <w:lang w:val="en-US" w:eastAsia="zh-CN"/>
              </w:rPr>
              <w:t>工作计划</w:t>
            </w:r>
          </w:p>
        </w:tc>
        <w:tc>
          <w:tcPr>
            <w:tcW w:w="866" w:type="dxa"/>
            <w:noWrap w:val="0"/>
            <w:vAlign w:val="center"/>
          </w:tcPr>
          <w:p>
            <w:pPr>
              <w:spacing w:line="380" w:lineRule="exact"/>
              <w:jc w:val="center"/>
              <w:rPr>
                <w:rFonts w:hint="eastAsia" w:ascii="宋体" w:hAnsi="宋体" w:eastAsia="宋体" w:cs="宋体"/>
                <w:color w:val="auto"/>
                <w:spacing w:val="-6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</w:rPr>
              <w:t>1</w:t>
            </w:r>
            <w:r>
              <w:rPr>
                <w:rFonts w:hint="eastAsia" w:ascii="宋体" w:hAnsi="宋体" w:cs="宋体"/>
                <w:color w:val="auto"/>
                <w:kern w:val="0"/>
                <w:szCs w:val="21"/>
                <w:highlight w:val="none"/>
                <w:lang w:val="en-US" w:eastAsia="zh-CN"/>
              </w:rPr>
              <w:t>0</w:t>
            </w:r>
          </w:p>
        </w:tc>
        <w:tc>
          <w:tcPr>
            <w:tcW w:w="5172" w:type="dxa"/>
            <w:noWrap w:val="0"/>
            <w:vAlign w:val="center"/>
          </w:tcPr>
          <w:p>
            <w:pPr>
              <w:pStyle w:val="14"/>
              <w:ind w:firstLine="0" w:firstLineChars="0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为确保沙盘模型的制作与质量，使工作能按时完成，对模型制作的工作进度及其保障措施进行评分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；</w:t>
            </w:r>
          </w:p>
          <w:p>
            <w:pPr>
              <w:pStyle w:val="14"/>
              <w:ind w:firstLine="0" w:firstLineChars="0"/>
              <w:rPr>
                <w:rFonts w:hint="eastAsia"/>
                <w:color w:val="auto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1.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>工作计划流程完整流畅，保证措施全面完善的</w:t>
            </w:r>
            <w:r>
              <w:rPr>
                <w:rFonts w:hint="eastAsia"/>
                <w:color w:val="auto"/>
                <w:highlight w:val="none"/>
              </w:rPr>
              <w:t>，计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>8~</w:t>
            </w:r>
            <w:r>
              <w:rPr>
                <w:rFonts w:hint="eastAsia"/>
                <w:color w:val="auto"/>
                <w:highlight w:val="none"/>
              </w:rPr>
              <w:t>1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>0</w:t>
            </w:r>
            <w:r>
              <w:rPr>
                <w:rFonts w:hint="eastAsia"/>
                <w:color w:val="auto"/>
                <w:highlight w:val="none"/>
              </w:rPr>
              <w:t>分；</w:t>
            </w:r>
          </w:p>
          <w:p>
            <w:pPr>
              <w:pStyle w:val="14"/>
              <w:ind w:firstLine="0" w:firstLineChars="0"/>
              <w:rPr>
                <w:rFonts w:hint="eastAsia"/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2.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>工作计划流程较为完善，保证措施较为全面的</w:t>
            </w:r>
            <w:r>
              <w:rPr>
                <w:rFonts w:hint="eastAsia"/>
                <w:color w:val="auto"/>
                <w:highlight w:val="none"/>
              </w:rPr>
              <w:t>，计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>4~7</w:t>
            </w:r>
            <w:r>
              <w:rPr>
                <w:rFonts w:hint="eastAsia"/>
                <w:color w:val="auto"/>
                <w:highlight w:val="none"/>
              </w:rPr>
              <w:t>分；</w:t>
            </w:r>
          </w:p>
          <w:p>
            <w:pPr>
              <w:pStyle w:val="14"/>
              <w:ind w:firstLine="0" w:firstLineChars="0"/>
              <w:rPr>
                <w:rFonts w:hint="eastAsia"/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3.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>工作计划流程欠合理，保证措施不完整的</w:t>
            </w:r>
            <w:r>
              <w:rPr>
                <w:rFonts w:hint="eastAsia"/>
                <w:color w:val="auto"/>
                <w:highlight w:val="none"/>
              </w:rPr>
              <w:t>，计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>0~3</w:t>
            </w:r>
            <w:r>
              <w:rPr>
                <w:rFonts w:hint="eastAsia"/>
                <w:color w:val="auto"/>
                <w:highlight w:val="none"/>
              </w:rPr>
              <w:t>分；</w:t>
            </w:r>
          </w:p>
          <w:p>
            <w:pPr>
              <w:pStyle w:val="14"/>
              <w:ind w:firstLine="0" w:firstLineChars="0"/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未提供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>技术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方案的，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>此项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不计分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eastAsia="zh-CN"/>
              </w:rPr>
              <w:t>。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33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color w:val="auto"/>
                <w:highlight w:val="none"/>
              </w:rPr>
            </w:pPr>
          </w:p>
        </w:tc>
        <w:tc>
          <w:tcPr>
            <w:tcW w:w="897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color w:val="auto"/>
                <w:highlight w:val="none"/>
              </w:rPr>
            </w:pPr>
          </w:p>
        </w:tc>
        <w:tc>
          <w:tcPr>
            <w:tcW w:w="1599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eastAsia="宋体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Cs w:val="21"/>
                <w:highlight w:val="none"/>
                <w:lang w:val="en-US" w:eastAsia="zh-CN"/>
              </w:rPr>
              <w:t>整体设计方案</w:t>
            </w:r>
          </w:p>
        </w:tc>
        <w:tc>
          <w:tcPr>
            <w:tcW w:w="866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default" w:eastAsia="宋体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/>
                <w:color w:val="auto"/>
                <w:szCs w:val="21"/>
                <w:highlight w:val="none"/>
                <w:lang w:val="en-US" w:eastAsia="zh-CN"/>
              </w:rPr>
              <w:t>10</w:t>
            </w:r>
          </w:p>
        </w:tc>
        <w:tc>
          <w:tcPr>
            <w:tcW w:w="5172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>供应商根据采购人要求对物料进行设计，评标委员会根据供应商的设计方案进行评审；</w:t>
            </w:r>
          </w:p>
          <w:p>
            <w:pPr>
              <w:pStyle w:val="14"/>
              <w:ind w:firstLine="0" w:firstLineChars="0"/>
              <w:rPr>
                <w:rFonts w:hint="eastAsia" w:eastAsia="宋体" w:cs="Times New Roman"/>
                <w:color w:val="auto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>1.设计方案丰富多样、可行性高，方案与项目实际需求契合度高，评价为优，</w:t>
            </w:r>
            <w:r>
              <w:rPr>
                <w:rFonts w:hint="eastAsia" w:ascii="Times New Roman" w:hAnsi="Times New Roman" w:eastAsia="宋体" w:cs="Times New Roman"/>
                <w:color w:val="auto"/>
                <w:szCs w:val="24"/>
                <w:highlight w:val="none"/>
                <w:lang w:val="en-US" w:eastAsia="zh-CN"/>
              </w:rPr>
              <w:t>计</w:t>
            </w:r>
            <w:r>
              <w:rPr>
                <w:rFonts w:hint="eastAsia" w:eastAsia="宋体" w:cs="Times New Roman"/>
                <w:color w:val="auto"/>
                <w:highlight w:val="none"/>
                <w:lang w:val="en-US" w:eastAsia="zh-CN"/>
              </w:rPr>
              <w:t>8~</w:t>
            </w:r>
            <w:r>
              <w:rPr>
                <w:rFonts w:hint="eastAsia" w:eastAsia="宋体" w:cs="Times New Roman"/>
                <w:color w:val="auto"/>
                <w:highlight w:val="none"/>
              </w:rPr>
              <w:t>1</w:t>
            </w:r>
            <w:r>
              <w:rPr>
                <w:rFonts w:hint="eastAsia" w:eastAsia="宋体" w:cs="Times New Roman"/>
                <w:color w:val="auto"/>
                <w:highlight w:val="none"/>
                <w:lang w:val="en-US" w:eastAsia="zh-CN"/>
              </w:rPr>
              <w:t>0</w:t>
            </w:r>
            <w:r>
              <w:rPr>
                <w:rFonts w:hint="eastAsia" w:eastAsia="宋体" w:cs="Times New Roman"/>
                <w:color w:val="auto"/>
                <w:highlight w:val="none"/>
              </w:rPr>
              <w:t>分；</w:t>
            </w:r>
          </w:p>
          <w:p>
            <w:pPr>
              <w:pStyle w:val="14"/>
              <w:ind w:firstLine="0" w:firstLineChars="0"/>
              <w:rPr>
                <w:rFonts w:hint="eastAsia" w:eastAsia="宋体" w:cs="Times New Roman"/>
                <w:color w:val="auto"/>
                <w:highlight w:val="none"/>
              </w:rPr>
            </w:pPr>
            <w:r>
              <w:rPr>
                <w:rFonts w:hint="eastAsia" w:eastAsia="宋体" w:cs="Times New Roman"/>
                <w:color w:val="auto"/>
                <w:highlight w:val="none"/>
              </w:rPr>
              <w:t>2</w:t>
            </w:r>
            <w:r>
              <w:rPr>
                <w:rFonts w:hint="eastAsia" w:ascii="Times New Roman" w:hAnsi="Times New Roman" w:eastAsia="宋体" w:cs="Times New Roman"/>
                <w:color w:val="auto"/>
                <w:szCs w:val="24"/>
                <w:highlight w:val="none"/>
                <w:lang w:val="en-US" w:eastAsia="zh-CN"/>
              </w:rPr>
              <w:t>.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>设计方案较为丰富、可行性较高，方案与项目实际需求契合度一般，评价为良</w:t>
            </w:r>
            <w:r>
              <w:rPr>
                <w:rFonts w:hint="eastAsia" w:eastAsia="宋体" w:cs="Times New Roman"/>
                <w:color w:val="auto"/>
                <w:highlight w:val="none"/>
              </w:rPr>
              <w:t>，计</w:t>
            </w:r>
            <w:r>
              <w:rPr>
                <w:rFonts w:hint="eastAsia" w:eastAsia="宋体" w:cs="Times New Roman"/>
                <w:color w:val="auto"/>
                <w:highlight w:val="none"/>
                <w:lang w:val="en-US" w:eastAsia="zh-CN"/>
              </w:rPr>
              <w:t>4~7</w:t>
            </w:r>
            <w:r>
              <w:rPr>
                <w:rFonts w:hint="eastAsia" w:eastAsia="宋体" w:cs="Times New Roman"/>
                <w:color w:val="auto"/>
                <w:highlight w:val="none"/>
              </w:rPr>
              <w:t>分；</w:t>
            </w:r>
          </w:p>
          <w:p>
            <w:pPr>
              <w:adjustRightInd w:val="0"/>
              <w:snapToGrid w:val="0"/>
              <w:spacing w:line="360" w:lineRule="exact"/>
              <w:jc w:val="left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eastAsia="宋体" w:cs="Times New Roman"/>
                <w:color w:val="auto"/>
                <w:highlight w:val="none"/>
              </w:rPr>
              <w:t>3</w:t>
            </w:r>
            <w:r>
              <w:rPr>
                <w:rFonts w:hint="eastAsia" w:ascii="Times New Roman" w:hAnsi="Times New Roman" w:eastAsia="宋体" w:cs="Times New Roman"/>
                <w:color w:val="auto"/>
                <w:szCs w:val="24"/>
                <w:highlight w:val="none"/>
                <w:lang w:val="en-US" w:eastAsia="zh-CN"/>
              </w:rPr>
              <w:t>.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>设计方案欠丰富、可行性不高，方案与项目实际需求不符合，评价为一般</w:t>
            </w:r>
            <w:r>
              <w:rPr>
                <w:rFonts w:hint="eastAsia" w:eastAsia="宋体" w:cs="Times New Roman"/>
                <w:color w:val="auto"/>
                <w:highlight w:val="none"/>
              </w:rPr>
              <w:t>，计</w:t>
            </w:r>
            <w:r>
              <w:rPr>
                <w:rFonts w:hint="eastAsia" w:eastAsia="宋体" w:cs="Times New Roman"/>
                <w:color w:val="auto"/>
                <w:highlight w:val="none"/>
                <w:lang w:val="en-US" w:eastAsia="zh-CN"/>
              </w:rPr>
              <w:t>0~3</w:t>
            </w:r>
            <w:r>
              <w:rPr>
                <w:rFonts w:hint="eastAsia" w:eastAsia="宋体" w:cs="Times New Roman"/>
                <w:color w:val="auto"/>
                <w:highlight w:val="none"/>
              </w:rPr>
              <w:t>分；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6" w:hRule="atLeast"/>
          <w:jc w:val="center"/>
        </w:trPr>
        <w:tc>
          <w:tcPr>
            <w:tcW w:w="633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color w:val="auto"/>
                <w:highlight w:val="none"/>
              </w:rPr>
            </w:pPr>
          </w:p>
        </w:tc>
        <w:tc>
          <w:tcPr>
            <w:tcW w:w="897" w:type="dxa"/>
            <w:vMerge w:val="continue"/>
            <w:noWrap w:val="0"/>
            <w:vAlign w:val="center"/>
          </w:tcPr>
          <w:p>
            <w:pPr>
              <w:spacing w:line="320" w:lineRule="exact"/>
              <w:jc w:val="center"/>
              <w:rPr>
                <w:color w:val="auto"/>
                <w:highlight w:val="none"/>
              </w:rPr>
            </w:pPr>
          </w:p>
        </w:tc>
        <w:tc>
          <w:tcPr>
            <w:tcW w:w="1599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>对项目的理解</w:t>
            </w:r>
          </w:p>
        </w:tc>
        <w:tc>
          <w:tcPr>
            <w:tcW w:w="866" w:type="dxa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/>
                <w:color w:val="auto"/>
                <w:szCs w:val="21"/>
                <w:highlight w:val="none"/>
              </w:rPr>
            </w:pPr>
            <w:r>
              <w:rPr>
                <w:rFonts w:hint="eastAsia"/>
                <w:color w:val="auto"/>
                <w:szCs w:val="21"/>
                <w:highlight w:val="none"/>
                <w:lang w:val="en-US" w:eastAsia="zh-CN"/>
              </w:rPr>
              <w:t>10</w:t>
            </w:r>
          </w:p>
        </w:tc>
        <w:tc>
          <w:tcPr>
            <w:tcW w:w="5172" w:type="dxa"/>
            <w:noWrap w:val="0"/>
            <w:vAlign w:val="center"/>
          </w:tcPr>
          <w:p>
            <w:pPr>
              <w:pStyle w:val="14"/>
              <w:ind w:firstLine="0" w:firstLineChars="0"/>
              <w:rPr>
                <w:rFonts w:hint="eastAsia"/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  <w:lang w:val="en-US" w:eastAsia="zh-CN"/>
              </w:rPr>
              <w:t>1.对项目现状和必要性理解深刻，能领悟项目目标，整体评价为优的</w:t>
            </w:r>
            <w:r>
              <w:rPr>
                <w:rFonts w:hint="eastAsia"/>
                <w:color w:val="auto"/>
                <w:highlight w:val="none"/>
              </w:rPr>
              <w:t>，计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>8~</w:t>
            </w:r>
            <w:r>
              <w:rPr>
                <w:rFonts w:hint="eastAsia"/>
                <w:color w:val="auto"/>
                <w:highlight w:val="none"/>
              </w:rPr>
              <w:t>1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>0</w:t>
            </w:r>
            <w:r>
              <w:rPr>
                <w:rFonts w:hint="eastAsia"/>
                <w:color w:val="auto"/>
                <w:highlight w:val="none"/>
              </w:rPr>
              <w:t>分；</w:t>
            </w:r>
          </w:p>
          <w:p>
            <w:pPr>
              <w:pStyle w:val="14"/>
              <w:ind w:firstLine="0" w:firstLineChars="0"/>
              <w:rPr>
                <w:rFonts w:hint="eastAsia"/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2.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>对项目了解不够深刻，缺乏针对性，整体评价为良的</w:t>
            </w:r>
            <w:r>
              <w:rPr>
                <w:rFonts w:hint="eastAsia"/>
                <w:color w:val="auto"/>
                <w:highlight w:val="none"/>
              </w:rPr>
              <w:t>，计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>4~7</w:t>
            </w:r>
            <w:r>
              <w:rPr>
                <w:rFonts w:hint="eastAsia"/>
                <w:color w:val="auto"/>
                <w:highlight w:val="none"/>
              </w:rPr>
              <w:t>分；</w:t>
            </w:r>
          </w:p>
          <w:p>
            <w:pPr>
              <w:pStyle w:val="14"/>
              <w:ind w:firstLine="0" w:firstLineChars="0"/>
              <w:rPr>
                <w:rFonts w:hint="eastAsia"/>
                <w:color w:val="auto"/>
                <w:highlight w:val="none"/>
              </w:rPr>
            </w:pPr>
            <w:r>
              <w:rPr>
                <w:rFonts w:hint="eastAsia"/>
                <w:color w:val="auto"/>
                <w:highlight w:val="none"/>
              </w:rPr>
              <w:t>3.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>对项目缺乏理解，条理模糊，认识空泛综合评价较差的</w:t>
            </w:r>
            <w:r>
              <w:rPr>
                <w:rFonts w:hint="eastAsia"/>
                <w:color w:val="auto"/>
                <w:highlight w:val="none"/>
              </w:rPr>
              <w:t>，计</w:t>
            </w:r>
            <w:r>
              <w:rPr>
                <w:rFonts w:hint="eastAsia"/>
                <w:color w:val="auto"/>
                <w:highlight w:val="none"/>
                <w:lang w:val="en-US" w:eastAsia="zh-CN"/>
              </w:rPr>
              <w:t>0~3</w:t>
            </w:r>
            <w:r>
              <w:rPr>
                <w:rFonts w:hint="eastAsia"/>
                <w:color w:val="auto"/>
                <w:highlight w:val="none"/>
              </w:rPr>
              <w:t>分；</w:t>
            </w:r>
          </w:p>
          <w:p>
            <w:pPr>
              <w:adjustRightInd w:val="0"/>
              <w:snapToGrid w:val="0"/>
              <w:spacing w:line="360" w:lineRule="exact"/>
              <w:jc w:val="left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Times New Roman" w:hAnsi="Times New Roman" w:eastAsia="宋体" w:cs="Times New Roman"/>
                <w:color w:val="auto"/>
                <w:szCs w:val="24"/>
                <w:highlight w:val="none"/>
              </w:rPr>
              <w:t>未提供</w:t>
            </w:r>
            <w:r>
              <w:rPr>
                <w:rFonts w:hint="eastAsia" w:ascii="Times New Roman" w:hAnsi="Times New Roman" w:eastAsia="宋体" w:cs="Times New Roman"/>
                <w:color w:val="auto"/>
                <w:szCs w:val="24"/>
                <w:highlight w:val="none"/>
                <w:lang w:val="en-US" w:eastAsia="zh-CN"/>
              </w:rPr>
              <w:t>技术</w:t>
            </w:r>
            <w:r>
              <w:rPr>
                <w:rFonts w:hint="eastAsia" w:ascii="Times New Roman" w:hAnsi="Times New Roman" w:eastAsia="宋体" w:cs="Times New Roman"/>
                <w:color w:val="auto"/>
                <w:szCs w:val="24"/>
                <w:highlight w:val="none"/>
              </w:rPr>
              <w:t>方案的，</w:t>
            </w:r>
            <w:r>
              <w:rPr>
                <w:rFonts w:hint="eastAsia" w:ascii="Times New Roman" w:hAnsi="Times New Roman" w:eastAsia="宋体" w:cs="Times New Roman"/>
                <w:color w:val="auto"/>
                <w:szCs w:val="24"/>
                <w:highlight w:val="none"/>
                <w:lang w:val="en-US" w:eastAsia="zh-CN"/>
              </w:rPr>
              <w:t>此项</w:t>
            </w:r>
            <w:r>
              <w:rPr>
                <w:rFonts w:hint="eastAsia" w:ascii="Times New Roman" w:hAnsi="Times New Roman" w:eastAsia="宋体" w:cs="Times New Roman"/>
                <w:color w:val="auto"/>
                <w:szCs w:val="24"/>
                <w:highlight w:val="none"/>
              </w:rPr>
              <w:t>不计分</w:t>
            </w:r>
            <w:r>
              <w:rPr>
                <w:rFonts w:hint="eastAsia" w:ascii="Times New Roman" w:hAnsi="Times New Roman" w:eastAsia="宋体" w:cs="Times New Roman"/>
                <w:color w:val="auto"/>
                <w:szCs w:val="24"/>
                <w:highlight w:val="none"/>
                <w:lang w:eastAsia="zh-CN"/>
              </w:rPr>
              <w:t>。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33" w:type="dxa"/>
            <w:vMerge w:val="restart"/>
            <w:noWrap w:val="0"/>
            <w:vAlign w:val="center"/>
          </w:tcPr>
          <w:p>
            <w:pPr>
              <w:spacing w:line="360" w:lineRule="exact"/>
              <w:ind w:firstLine="28"/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3</w:t>
            </w:r>
          </w:p>
        </w:tc>
        <w:tc>
          <w:tcPr>
            <w:tcW w:w="897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商务部分（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>3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0分）</w:t>
            </w:r>
          </w:p>
        </w:tc>
        <w:tc>
          <w:tcPr>
            <w:tcW w:w="15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历史业绩</w:t>
            </w:r>
          </w:p>
        </w:tc>
        <w:tc>
          <w:tcPr>
            <w:tcW w:w="86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highlight w:val="none"/>
              </w:rPr>
              <w:t>15</w:t>
            </w:r>
          </w:p>
        </w:tc>
        <w:tc>
          <w:tcPr>
            <w:tcW w:w="5172" w:type="dxa"/>
            <w:noWrap w:val="0"/>
            <w:vAlign w:val="center"/>
          </w:tcPr>
          <w:p>
            <w:pPr>
              <w:autoSpaceDE w:val="0"/>
              <w:adjustRightInd w:val="0"/>
              <w:snapToGrid w:val="0"/>
              <w:spacing w:line="360" w:lineRule="exact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供应商自2019年1月1日起（以合同签订时间为准）至今，有过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类似</w:t>
            </w:r>
            <w:r>
              <w:rPr>
                <w:rFonts w:hint="eastAsia" w:ascii="宋体" w:hAnsi="宋体"/>
                <w:color w:val="auto"/>
                <w:szCs w:val="21"/>
                <w:highlight w:val="none"/>
                <w:lang w:val="en-US" w:eastAsia="zh-CN"/>
              </w:rPr>
              <w:t>沙盘及户型模型</w:t>
            </w: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项目业绩的，每个计3分，最多计15分。</w:t>
            </w:r>
          </w:p>
          <w:p>
            <w:pPr>
              <w:autoSpaceDE w:val="0"/>
              <w:adjustRightInd w:val="0"/>
              <w:snapToGrid w:val="0"/>
              <w:spacing w:line="360" w:lineRule="exact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</w:rPr>
              <w:t>注：须提供合同或中标通知书复印件并加盖供应商公章，否则不计分。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6" w:hRule="atLeast"/>
          <w:jc w:val="center"/>
        </w:trPr>
        <w:tc>
          <w:tcPr>
            <w:tcW w:w="633" w:type="dxa"/>
            <w:vMerge w:val="continue"/>
            <w:noWrap w:val="0"/>
            <w:vAlign w:val="center"/>
          </w:tcPr>
          <w:p>
            <w:pPr>
              <w:spacing w:line="360" w:lineRule="exact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897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5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>售后服务</w:t>
            </w:r>
          </w:p>
        </w:tc>
        <w:tc>
          <w:tcPr>
            <w:tcW w:w="86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default" w:ascii="宋体" w:hAnsi="宋体" w:eastAsia="宋体" w:cs="宋体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>10</w:t>
            </w:r>
          </w:p>
        </w:tc>
        <w:tc>
          <w:tcPr>
            <w:tcW w:w="5172" w:type="dxa"/>
            <w:noWrap w:val="0"/>
            <w:vAlign w:val="center"/>
          </w:tcPr>
          <w:p>
            <w:pPr>
              <w:snapToGrid w:val="0"/>
              <w:spacing w:line="360" w:lineRule="exact"/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val="en-US" w:eastAsia="zh-CN"/>
              </w:rPr>
              <w:t>根据投标人所提供的售后服务方案（包括但不限于售后服务人员、响应时间、服务承诺、保障措施、针对采购人调换、增补等需求及其他具体服务内容、质保期内外的后续维护、相关增值服务内容等）进行评分：</w:t>
            </w:r>
          </w:p>
          <w:p>
            <w:pPr>
              <w:snapToGrid w:val="0"/>
              <w:spacing w:line="360" w:lineRule="exact"/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val="en-US" w:eastAsia="zh-CN"/>
              </w:rPr>
              <w:t>1.方案科学合理、完整、可行性高的，计8分；</w:t>
            </w:r>
          </w:p>
          <w:p>
            <w:pPr>
              <w:snapToGrid w:val="0"/>
              <w:spacing w:line="360" w:lineRule="exact"/>
              <w:rPr>
                <w:rFonts w:hint="eastAsia" w:eastAsia="宋体"/>
                <w:color w:val="auto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val="en-US" w:eastAsia="zh-CN"/>
              </w:rPr>
              <w:t>2.欠科学、欠合理、欠可行、有缺陷、漏项的每处扣1分，扣完为止。</w:t>
            </w:r>
          </w:p>
        </w:tc>
      </w:tr>
      <w:tr>
        <w:tblPrEx>
          <w:tblBorders>
            <w:top w:val="double" w:color="auto" w:sz="4" w:space="0"/>
            <w:left w:val="double" w:color="auto" w:sz="4" w:space="0"/>
            <w:bottom w:val="double" w:color="auto" w:sz="4" w:space="0"/>
            <w:right w:val="doub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3" w:hRule="atLeast"/>
          <w:jc w:val="center"/>
        </w:trPr>
        <w:tc>
          <w:tcPr>
            <w:tcW w:w="633" w:type="dxa"/>
            <w:vMerge w:val="continue"/>
            <w:noWrap w:val="0"/>
            <w:vAlign w:val="center"/>
          </w:tcPr>
          <w:p>
            <w:pPr>
              <w:spacing w:line="360" w:lineRule="exact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897" w:type="dxa"/>
            <w:vMerge w:val="continue"/>
            <w:noWrap w:val="0"/>
            <w:vAlign w:val="center"/>
          </w:tcPr>
          <w:p>
            <w:pPr>
              <w:spacing w:line="360" w:lineRule="exact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</w:p>
        </w:tc>
        <w:tc>
          <w:tcPr>
            <w:tcW w:w="1599" w:type="dxa"/>
            <w:noWrap w:val="0"/>
            <w:vAlign w:val="center"/>
          </w:tcPr>
          <w:p>
            <w:pPr>
              <w:spacing w:line="300" w:lineRule="exact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宋体" w:hAnsi="宋体"/>
                <w:color w:val="auto"/>
                <w:szCs w:val="21"/>
                <w:highlight w:val="none"/>
              </w:rPr>
              <w:t>响应文件编制</w:t>
            </w:r>
          </w:p>
        </w:tc>
        <w:tc>
          <w:tcPr>
            <w:tcW w:w="866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宋体" w:hAnsi="宋体" w:eastAsia="宋体" w:cs="宋体"/>
                <w:color w:val="auto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cs="宋体"/>
                <w:color w:val="auto"/>
                <w:szCs w:val="21"/>
                <w:highlight w:val="none"/>
                <w:lang w:val="en-US" w:eastAsia="zh-CN"/>
              </w:rPr>
              <w:t>5</w:t>
            </w:r>
          </w:p>
        </w:tc>
        <w:tc>
          <w:tcPr>
            <w:tcW w:w="5172" w:type="dxa"/>
            <w:noWrap w:val="0"/>
            <w:vAlign w:val="center"/>
          </w:tcPr>
          <w:p>
            <w:pPr>
              <w:spacing w:line="340" w:lineRule="exact"/>
              <w:rPr>
                <w:rFonts w:hint="eastAsia" w:ascii="宋体" w:hAnsi="宋体" w:cs="宋体"/>
                <w:color w:val="auto"/>
                <w:szCs w:val="21"/>
                <w:highlight w:val="none"/>
              </w:rPr>
            </w:pPr>
            <w:r>
              <w:rPr>
                <w:rFonts w:hint="eastAsia" w:ascii="Calibri" w:hAnsi="Calibri"/>
                <w:color w:val="auto"/>
                <w:szCs w:val="21"/>
                <w:highlight w:val="none"/>
              </w:rPr>
              <w:t>响应文件按磋商文件规定的格式、顺序编制，有目录、编页码，装订成册，书面整洁无涂改，没有缺漏项，价格数量等计算准确的，计</w:t>
            </w:r>
            <w:r>
              <w:rPr>
                <w:rFonts w:hint="eastAsia" w:ascii="Calibri" w:hAnsi="Calibri"/>
                <w:color w:val="auto"/>
                <w:szCs w:val="21"/>
                <w:highlight w:val="none"/>
                <w:lang w:val="en-US" w:eastAsia="zh-CN"/>
              </w:rPr>
              <w:t>5</w:t>
            </w:r>
            <w:r>
              <w:rPr>
                <w:rFonts w:hint="eastAsia" w:ascii="Calibri" w:hAnsi="Calibri"/>
                <w:color w:val="auto"/>
                <w:szCs w:val="21"/>
                <w:highlight w:val="none"/>
              </w:rPr>
              <w:t>分；不符合要求的，每处扣0.5分，扣完为止。</w:t>
            </w:r>
          </w:p>
        </w:tc>
      </w:tr>
    </w:tbl>
    <w:p>
      <w:pPr>
        <w:numPr>
          <w:ilvl w:val="0"/>
          <w:numId w:val="1"/>
        </w:numPr>
        <w:tabs>
          <w:tab w:val="left" w:pos="653"/>
        </w:tabs>
        <w:adjustRightInd w:val="0"/>
        <w:snapToGrid w:val="0"/>
        <w:spacing w:beforeLines="50" w:afterLines="50" w:line="320" w:lineRule="exact"/>
        <w:ind w:left="653" w:right="-109" w:rightChars="-52"/>
        <w:rPr>
          <w:rFonts w:hint="eastAsia" w:ascii="宋体" w:hAnsi="宋体" w:cs="宋体"/>
          <w:color w:val="auto"/>
          <w:szCs w:val="21"/>
          <w:highlight w:val="none"/>
        </w:rPr>
      </w:pPr>
      <w:r>
        <w:rPr>
          <w:rFonts w:hint="eastAsia" w:ascii="宋体" w:hAnsi="宋体" w:cs="宋体"/>
          <w:color w:val="auto"/>
          <w:szCs w:val="21"/>
          <w:highlight w:val="none"/>
        </w:rPr>
        <w:t>评分准则</w:t>
      </w:r>
    </w:p>
    <w:p>
      <w:pPr>
        <w:adjustRightInd w:val="0"/>
        <w:snapToGrid w:val="0"/>
        <w:spacing w:beforeLines="50" w:afterLines="50" w:line="320" w:lineRule="exact"/>
        <w:ind w:left="630" w:leftChars="300" w:right="-109" w:rightChars="-52"/>
        <w:rPr>
          <w:rFonts w:hint="eastAsia" w:ascii="宋体" w:hAnsi="宋体" w:cs="宋体"/>
          <w:color w:val="auto"/>
          <w:szCs w:val="21"/>
          <w:highlight w:val="none"/>
        </w:rPr>
      </w:pPr>
      <w:r>
        <w:rPr>
          <w:rFonts w:hint="eastAsia" w:ascii="宋体" w:hAnsi="宋体" w:cs="宋体"/>
          <w:color w:val="auto"/>
          <w:szCs w:val="21"/>
          <w:highlight w:val="none"/>
        </w:rPr>
        <w:t>评分按以下计算汇总供应商最后得分。其计算公式如下：</w:t>
      </w:r>
    </w:p>
    <w:p>
      <w:pPr>
        <w:adjustRightInd w:val="0"/>
        <w:snapToGrid w:val="0"/>
        <w:spacing w:beforeLines="50" w:afterLines="50" w:line="320" w:lineRule="exact"/>
        <w:ind w:left="630" w:leftChars="300" w:right="-109" w:rightChars="-52"/>
        <w:rPr>
          <w:rFonts w:hint="eastAsia" w:ascii="宋体" w:hAnsi="宋体" w:cs="宋体"/>
          <w:color w:val="auto"/>
          <w:szCs w:val="21"/>
          <w:highlight w:val="none"/>
        </w:rPr>
      </w:pPr>
      <w:r>
        <w:rPr>
          <w:rFonts w:hint="eastAsia" w:ascii="宋体" w:hAnsi="宋体" w:cs="宋体"/>
          <w:color w:val="auto"/>
          <w:szCs w:val="21"/>
          <w:highlight w:val="none"/>
        </w:rPr>
        <w:t>评审总得分＝F1+F2……+Fn</w:t>
      </w:r>
    </w:p>
    <w:p>
      <w:pPr>
        <w:adjustRightInd w:val="0"/>
        <w:snapToGrid w:val="0"/>
        <w:spacing w:beforeLines="50" w:afterLines="50" w:line="320" w:lineRule="exact"/>
        <w:ind w:left="630" w:leftChars="300" w:right="-109" w:rightChars="-52"/>
        <w:rPr>
          <w:rFonts w:hint="eastAsia" w:ascii="宋体" w:hAnsi="宋体" w:cs="宋体"/>
          <w:color w:val="auto"/>
          <w:szCs w:val="21"/>
          <w:highlight w:val="none"/>
        </w:rPr>
      </w:pPr>
      <w:r>
        <w:rPr>
          <w:rFonts w:hint="eastAsia" w:ascii="宋体" w:hAnsi="宋体" w:cs="宋体"/>
          <w:color w:val="auto"/>
          <w:szCs w:val="21"/>
          <w:highlight w:val="none"/>
        </w:rPr>
        <w:t>F1、F2……Fn分别为各项评分因素的汇总得分；</w:t>
      </w:r>
    </w:p>
    <w:p>
      <w:pPr>
        <w:adjustRightInd w:val="0"/>
        <w:snapToGrid w:val="0"/>
        <w:spacing w:beforeLines="50" w:afterLines="50" w:line="320" w:lineRule="exact"/>
        <w:ind w:left="630" w:leftChars="300" w:right="-109" w:rightChars="-52"/>
        <w:rPr>
          <w:rFonts w:hint="eastAsia" w:ascii="宋体" w:hAnsi="宋体" w:cs="宋体"/>
          <w:color w:val="auto"/>
          <w:szCs w:val="21"/>
          <w:highlight w:val="none"/>
        </w:rPr>
      </w:pPr>
      <w:r>
        <w:rPr>
          <w:rFonts w:hint="eastAsia" w:ascii="宋体" w:hAnsi="宋体" w:cs="宋体"/>
          <w:color w:val="auto"/>
          <w:szCs w:val="21"/>
          <w:highlight w:val="none"/>
        </w:rPr>
        <w:t>F1：商务评分</w:t>
      </w:r>
    </w:p>
    <w:p>
      <w:pPr>
        <w:adjustRightInd w:val="0"/>
        <w:snapToGrid w:val="0"/>
        <w:spacing w:beforeLines="50" w:afterLines="50" w:line="320" w:lineRule="exact"/>
        <w:ind w:left="630" w:leftChars="300" w:right="-109" w:rightChars="-52"/>
        <w:rPr>
          <w:rFonts w:hint="eastAsia" w:ascii="宋体" w:hAnsi="宋体" w:cs="宋体"/>
          <w:color w:val="auto"/>
          <w:szCs w:val="21"/>
          <w:highlight w:val="none"/>
        </w:rPr>
      </w:pPr>
      <w:r>
        <w:rPr>
          <w:rFonts w:hint="eastAsia" w:ascii="宋体" w:hAnsi="宋体" w:cs="宋体"/>
          <w:color w:val="auto"/>
          <w:szCs w:val="21"/>
          <w:highlight w:val="none"/>
        </w:rPr>
        <w:t>F2：各评委技术评分的算术平均值：F2=(F2-1+F2-2+….F2-N)/N</w:t>
      </w:r>
    </w:p>
    <w:p>
      <w:pPr>
        <w:adjustRightInd w:val="0"/>
        <w:snapToGrid w:val="0"/>
        <w:spacing w:beforeLines="50" w:afterLines="50" w:line="320" w:lineRule="exact"/>
        <w:ind w:left="630" w:leftChars="300" w:right="-109" w:rightChars="-52"/>
        <w:rPr>
          <w:rFonts w:hint="eastAsia" w:ascii="宋体" w:hAnsi="宋体" w:cs="宋体"/>
          <w:color w:val="auto"/>
          <w:szCs w:val="21"/>
          <w:highlight w:val="none"/>
        </w:rPr>
      </w:pPr>
      <w:r>
        <w:rPr>
          <w:rFonts w:hint="eastAsia" w:ascii="宋体" w:hAnsi="宋体" w:cs="宋体"/>
          <w:color w:val="auto"/>
          <w:szCs w:val="21"/>
          <w:highlight w:val="none"/>
        </w:rPr>
        <w:t>F2-N：每个评委的技术评分，N为评委人数。</w:t>
      </w:r>
    </w:p>
    <w:p>
      <w:pPr>
        <w:tabs>
          <w:tab w:val="left" w:pos="653"/>
        </w:tabs>
        <w:adjustRightInd w:val="0"/>
        <w:snapToGrid w:val="0"/>
        <w:spacing w:beforeLines="50" w:afterLines="50" w:line="320" w:lineRule="exact"/>
        <w:ind w:right="-109" w:rightChars="-52" w:firstLine="420" w:firstLineChars="200"/>
        <w:rPr>
          <w:rFonts w:hint="eastAsia" w:ascii="宋体" w:hAnsi="宋体" w:cs="宋体"/>
          <w:color w:val="auto"/>
          <w:szCs w:val="21"/>
          <w:highlight w:val="none"/>
        </w:rPr>
      </w:pPr>
      <w:r>
        <w:rPr>
          <w:rFonts w:hint="eastAsia" w:ascii="宋体" w:hAnsi="宋体" w:cs="宋体"/>
          <w:color w:val="auto"/>
          <w:szCs w:val="21"/>
          <w:highlight w:val="none"/>
        </w:rPr>
        <w:t>（2）记分、计算规则</w:t>
      </w:r>
    </w:p>
    <w:p>
      <w:pPr>
        <w:adjustRightInd w:val="0"/>
        <w:snapToGrid w:val="0"/>
        <w:spacing w:beforeLines="50" w:afterLines="50" w:line="320" w:lineRule="exact"/>
        <w:ind w:left="630" w:leftChars="300" w:right="-109" w:rightChars="-52"/>
        <w:rPr>
          <w:rFonts w:hint="eastAsia" w:ascii="宋体" w:hAnsi="宋体" w:cs="宋体"/>
          <w:color w:val="auto"/>
          <w:szCs w:val="21"/>
          <w:highlight w:val="none"/>
        </w:rPr>
      </w:pPr>
      <w:r>
        <w:rPr>
          <w:rFonts w:hint="eastAsia" w:ascii="宋体" w:hAnsi="宋体" w:cs="宋体"/>
          <w:color w:val="auto"/>
          <w:szCs w:val="21"/>
          <w:highlight w:val="none"/>
        </w:rPr>
        <w:t>每次评分计算保留2位小数（百分比亦取2位小数），第三位小数四舍五入。</w:t>
      </w:r>
    </w:p>
    <w:p>
      <w:pPr>
        <w:adjustRightInd w:val="0"/>
        <w:snapToGrid w:val="0"/>
        <w:spacing w:beforeLines="50" w:afterLines="50" w:line="320" w:lineRule="exact"/>
        <w:ind w:left="630" w:leftChars="300" w:right="-109" w:rightChars="-52"/>
        <w:rPr>
          <w:rFonts w:hint="eastAsia" w:ascii="宋体" w:hAnsi="宋体" w:cs="宋体"/>
          <w:color w:val="auto"/>
          <w:szCs w:val="21"/>
          <w:highlight w:val="none"/>
        </w:rPr>
      </w:pPr>
      <w:r>
        <w:rPr>
          <w:rFonts w:hint="eastAsia" w:ascii="宋体" w:hAnsi="宋体" w:cs="宋体"/>
          <w:color w:val="auto"/>
          <w:szCs w:val="21"/>
          <w:highlight w:val="none"/>
        </w:rPr>
        <w:t>有下列情况之一者单项评分为无效分，评委须作出解释，并重新打分：</w:t>
      </w:r>
    </w:p>
    <w:p>
      <w:pPr>
        <w:adjustRightInd w:val="0"/>
        <w:snapToGrid w:val="0"/>
        <w:spacing w:beforeLines="50" w:afterLines="50" w:line="320" w:lineRule="exact"/>
        <w:ind w:left="630" w:leftChars="300" w:right="-109" w:rightChars="-52"/>
        <w:rPr>
          <w:rFonts w:hint="eastAsia" w:ascii="宋体" w:hAnsi="宋体" w:cs="宋体"/>
          <w:color w:val="auto"/>
          <w:szCs w:val="21"/>
          <w:highlight w:val="none"/>
        </w:rPr>
      </w:pPr>
      <w:r>
        <w:rPr>
          <w:rFonts w:hint="eastAsia" w:ascii="宋体" w:hAnsi="宋体" w:cs="宋体"/>
          <w:color w:val="auto"/>
          <w:szCs w:val="21"/>
          <w:highlight w:val="none"/>
        </w:rPr>
        <w:t>① 评分高出规定最高分或低于规定最低分的；</w:t>
      </w:r>
    </w:p>
    <w:p>
      <w:pPr>
        <w:adjustRightInd w:val="0"/>
        <w:snapToGrid w:val="0"/>
        <w:spacing w:beforeLines="50" w:afterLines="50" w:line="320" w:lineRule="exact"/>
        <w:ind w:left="630" w:leftChars="300" w:right="-109" w:rightChars="-52"/>
        <w:rPr>
          <w:rFonts w:hint="eastAsia" w:ascii="宋体" w:hAnsi="宋体" w:cs="宋体"/>
          <w:color w:val="auto"/>
          <w:szCs w:val="21"/>
          <w:highlight w:val="none"/>
        </w:rPr>
      </w:pPr>
      <w:r>
        <w:rPr>
          <w:rFonts w:hint="eastAsia" w:ascii="宋体" w:hAnsi="宋体" w:cs="宋体"/>
          <w:color w:val="auto"/>
          <w:szCs w:val="21"/>
          <w:highlight w:val="none"/>
        </w:rPr>
        <w:t>② 一个记分内容有2个或2个以上记分的；</w:t>
      </w:r>
    </w:p>
    <w:p>
      <w:pPr>
        <w:adjustRightInd w:val="0"/>
        <w:snapToGrid w:val="0"/>
        <w:spacing w:beforeLines="50" w:afterLines="50" w:line="320" w:lineRule="exact"/>
        <w:ind w:left="630" w:leftChars="300" w:right="-109" w:rightChars="-52"/>
        <w:rPr>
          <w:rFonts w:hint="eastAsia" w:ascii="宋体" w:hAnsi="宋体" w:cs="宋体"/>
          <w:color w:val="auto"/>
          <w:szCs w:val="21"/>
          <w:highlight w:val="none"/>
        </w:rPr>
      </w:pPr>
      <w:r>
        <w:rPr>
          <w:rFonts w:hint="eastAsia" w:ascii="宋体" w:hAnsi="宋体" w:cs="宋体"/>
          <w:color w:val="auto"/>
          <w:szCs w:val="21"/>
          <w:highlight w:val="none"/>
        </w:rPr>
        <w:t>③ 无记分；</w:t>
      </w:r>
    </w:p>
    <w:p>
      <w:pPr>
        <w:pStyle w:val="9"/>
        <w:spacing w:beforeLines="50" w:afterLines="50" w:line="320" w:lineRule="exact"/>
        <w:ind w:firstLine="630" w:firstLineChars="300"/>
        <w:rPr>
          <w:rFonts w:hint="eastAsia" w:ascii="宋体" w:hAnsi="宋体" w:cs="宋体"/>
          <w:color w:val="auto"/>
          <w:szCs w:val="21"/>
          <w:highlight w:val="none"/>
        </w:rPr>
        <w:sectPr>
          <w:pgSz w:w="11906" w:h="16838"/>
          <w:pgMar w:top="1021" w:right="1474" w:bottom="1191" w:left="1474" w:header="510" w:footer="624" w:gutter="0"/>
          <w:cols w:space="720" w:num="1"/>
          <w:rtlGutter w:val="1"/>
          <w:docGrid w:linePitch="312" w:charSpace="0"/>
        </w:sectPr>
      </w:pPr>
      <w:r>
        <w:rPr>
          <w:rFonts w:hint="eastAsia" w:hAnsi="宋体" w:cs="宋体"/>
          <w:color w:val="auto"/>
          <w:highlight w:val="none"/>
        </w:rPr>
        <w:t>④ 其它明显不合理记分</w:t>
      </w:r>
      <w:bookmarkStart w:id="0" w:name="_GoBack"/>
      <w:bookmarkEnd w:id="0"/>
    </w:p>
    <w:p>
      <w:pPr>
        <w:rPr>
          <w:rFonts w:hint="default"/>
          <w:lang w:val="en-US" w:eastAsia="zh-CN"/>
        </w:rPr>
      </w:pPr>
    </w:p>
    <w:sectPr>
      <w:pgSz w:w="12240" w:h="15840"/>
      <w:pgMar w:top="1440" w:right="1800" w:bottom="1440" w:left="1800" w:header="720" w:footer="720" w:gutter="0"/>
      <w:lnNumType w:countBy="0" w:distance="36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1B0703"/>
    <w:multiLevelType w:val="multilevel"/>
    <w:tmpl w:val="0D1B0703"/>
    <w:lvl w:ilvl="0" w:tentative="0">
      <w:start w:val="1"/>
      <w:numFmt w:val="decimal"/>
      <w:lvlText w:val="（%1）"/>
      <w:lvlJc w:val="left"/>
      <w:pPr>
        <w:tabs>
          <w:tab w:val="left" w:pos="397"/>
        </w:tabs>
        <w:ind w:left="397" w:hanging="227"/>
      </w:pPr>
      <w:rPr>
        <w:rFonts w:hint="eastAsia" w:eastAsia="宋体"/>
        <w:b w:val="0"/>
        <w:i w:val="0"/>
        <w:sz w:val="21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eastAsia"/>
      </w:r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  <w:rPr>
        <w:rFonts w:hint="eastAsia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5AE4"/>
    <w:rsid w:val="00015A61"/>
    <w:rsid w:val="00027560"/>
    <w:rsid w:val="0003294B"/>
    <w:rsid w:val="00066766"/>
    <w:rsid w:val="00070AF7"/>
    <w:rsid w:val="00072C52"/>
    <w:rsid w:val="00072D3F"/>
    <w:rsid w:val="000A2C52"/>
    <w:rsid w:val="000B73F8"/>
    <w:rsid w:val="000C44FF"/>
    <w:rsid w:val="00106BD3"/>
    <w:rsid w:val="00111963"/>
    <w:rsid w:val="001136A0"/>
    <w:rsid w:val="00151ECB"/>
    <w:rsid w:val="00173FA5"/>
    <w:rsid w:val="001807CD"/>
    <w:rsid w:val="00191903"/>
    <w:rsid w:val="00195DFB"/>
    <w:rsid w:val="001C62F2"/>
    <w:rsid w:val="001E671D"/>
    <w:rsid w:val="00214A3A"/>
    <w:rsid w:val="00222C59"/>
    <w:rsid w:val="00224EAA"/>
    <w:rsid w:val="00237144"/>
    <w:rsid w:val="00263223"/>
    <w:rsid w:val="0027488A"/>
    <w:rsid w:val="00280EB1"/>
    <w:rsid w:val="002914E5"/>
    <w:rsid w:val="002A4747"/>
    <w:rsid w:val="002A58D1"/>
    <w:rsid w:val="002B5BEB"/>
    <w:rsid w:val="002B6279"/>
    <w:rsid w:val="002C011F"/>
    <w:rsid w:val="002E4921"/>
    <w:rsid w:val="003002A7"/>
    <w:rsid w:val="00343E89"/>
    <w:rsid w:val="00386B5D"/>
    <w:rsid w:val="003A49B6"/>
    <w:rsid w:val="003A697D"/>
    <w:rsid w:val="003C669D"/>
    <w:rsid w:val="003D04DE"/>
    <w:rsid w:val="003E0A9B"/>
    <w:rsid w:val="00402E8F"/>
    <w:rsid w:val="004042B0"/>
    <w:rsid w:val="00411EAE"/>
    <w:rsid w:val="00432B7C"/>
    <w:rsid w:val="004343BF"/>
    <w:rsid w:val="00440D61"/>
    <w:rsid w:val="00453E96"/>
    <w:rsid w:val="00474781"/>
    <w:rsid w:val="004A2DD3"/>
    <w:rsid w:val="004B2EA7"/>
    <w:rsid w:val="004B349E"/>
    <w:rsid w:val="004B6D49"/>
    <w:rsid w:val="004C2BB3"/>
    <w:rsid w:val="004F5D87"/>
    <w:rsid w:val="00517247"/>
    <w:rsid w:val="0052114A"/>
    <w:rsid w:val="00556582"/>
    <w:rsid w:val="00562FE7"/>
    <w:rsid w:val="00570ADB"/>
    <w:rsid w:val="00574CD9"/>
    <w:rsid w:val="005804C7"/>
    <w:rsid w:val="005C4C81"/>
    <w:rsid w:val="005D4DC7"/>
    <w:rsid w:val="005F5942"/>
    <w:rsid w:val="0061747A"/>
    <w:rsid w:val="006208D1"/>
    <w:rsid w:val="00622302"/>
    <w:rsid w:val="00632503"/>
    <w:rsid w:val="0063690E"/>
    <w:rsid w:val="00641DE5"/>
    <w:rsid w:val="00675D46"/>
    <w:rsid w:val="00687AA3"/>
    <w:rsid w:val="006A3A2D"/>
    <w:rsid w:val="006B3814"/>
    <w:rsid w:val="006B567A"/>
    <w:rsid w:val="006D6CA5"/>
    <w:rsid w:val="006E0D0B"/>
    <w:rsid w:val="006E5DF6"/>
    <w:rsid w:val="006F5EE9"/>
    <w:rsid w:val="006F7DDC"/>
    <w:rsid w:val="006F7ED2"/>
    <w:rsid w:val="00733960"/>
    <w:rsid w:val="007666BB"/>
    <w:rsid w:val="007E3A05"/>
    <w:rsid w:val="00801DC9"/>
    <w:rsid w:val="00822AAC"/>
    <w:rsid w:val="00822C94"/>
    <w:rsid w:val="00830672"/>
    <w:rsid w:val="00843322"/>
    <w:rsid w:val="00850E53"/>
    <w:rsid w:val="008B0484"/>
    <w:rsid w:val="008B3BB4"/>
    <w:rsid w:val="008C0672"/>
    <w:rsid w:val="008F3605"/>
    <w:rsid w:val="008F3720"/>
    <w:rsid w:val="008F4386"/>
    <w:rsid w:val="00901A0E"/>
    <w:rsid w:val="009040D9"/>
    <w:rsid w:val="00907CE1"/>
    <w:rsid w:val="009106A8"/>
    <w:rsid w:val="00937DE8"/>
    <w:rsid w:val="009604AA"/>
    <w:rsid w:val="00966AD6"/>
    <w:rsid w:val="0097264A"/>
    <w:rsid w:val="00984F66"/>
    <w:rsid w:val="009858B7"/>
    <w:rsid w:val="00995DCB"/>
    <w:rsid w:val="009A5F39"/>
    <w:rsid w:val="009D10F2"/>
    <w:rsid w:val="009D4F75"/>
    <w:rsid w:val="009E35CE"/>
    <w:rsid w:val="009F7F66"/>
    <w:rsid w:val="00A21B58"/>
    <w:rsid w:val="00A24E82"/>
    <w:rsid w:val="00A255D4"/>
    <w:rsid w:val="00A45FF4"/>
    <w:rsid w:val="00A600CA"/>
    <w:rsid w:val="00A66D85"/>
    <w:rsid w:val="00AA210A"/>
    <w:rsid w:val="00AB3CA3"/>
    <w:rsid w:val="00AB695A"/>
    <w:rsid w:val="00AC0BCE"/>
    <w:rsid w:val="00AD22F0"/>
    <w:rsid w:val="00AD27AB"/>
    <w:rsid w:val="00AD55BB"/>
    <w:rsid w:val="00AE60EC"/>
    <w:rsid w:val="00AE7C4D"/>
    <w:rsid w:val="00AF30C0"/>
    <w:rsid w:val="00B033C0"/>
    <w:rsid w:val="00B11CA6"/>
    <w:rsid w:val="00B50072"/>
    <w:rsid w:val="00B51204"/>
    <w:rsid w:val="00BF3B94"/>
    <w:rsid w:val="00C06AAA"/>
    <w:rsid w:val="00C10DD2"/>
    <w:rsid w:val="00C11A5E"/>
    <w:rsid w:val="00C11D74"/>
    <w:rsid w:val="00C12B94"/>
    <w:rsid w:val="00C2487B"/>
    <w:rsid w:val="00C43F67"/>
    <w:rsid w:val="00C80C86"/>
    <w:rsid w:val="00C87449"/>
    <w:rsid w:val="00C97FCE"/>
    <w:rsid w:val="00CA0898"/>
    <w:rsid w:val="00CA5523"/>
    <w:rsid w:val="00CC5188"/>
    <w:rsid w:val="00CD35F7"/>
    <w:rsid w:val="00CE1732"/>
    <w:rsid w:val="00CF2212"/>
    <w:rsid w:val="00D070D3"/>
    <w:rsid w:val="00D4718F"/>
    <w:rsid w:val="00D93FB8"/>
    <w:rsid w:val="00DB2D23"/>
    <w:rsid w:val="00DE19C9"/>
    <w:rsid w:val="00DF0DE1"/>
    <w:rsid w:val="00E13AC9"/>
    <w:rsid w:val="00E25911"/>
    <w:rsid w:val="00E3476C"/>
    <w:rsid w:val="00E36116"/>
    <w:rsid w:val="00E55AE4"/>
    <w:rsid w:val="00E64735"/>
    <w:rsid w:val="00E74794"/>
    <w:rsid w:val="00E80C84"/>
    <w:rsid w:val="00E80DB2"/>
    <w:rsid w:val="00E870A9"/>
    <w:rsid w:val="00E95EDC"/>
    <w:rsid w:val="00EA6785"/>
    <w:rsid w:val="00EB1108"/>
    <w:rsid w:val="00EE58F7"/>
    <w:rsid w:val="00F10D3C"/>
    <w:rsid w:val="00F12EAE"/>
    <w:rsid w:val="00F13385"/>
    <w:rsid w:val="00F16B57"/>
    <w:rsid w:val="00F3124D"/>
    <w:rsid w:val="00F34D92"/>
    <w:rsid w:val="00F4238F"/>
    <w:rsid w:val="00F437B0"/>
    <w:rsid w:val="00F528F3"/>
    <w:rsid w:val="00F63207"/>
    <w:rsid w:val="00F719A8"/>
    <w:rsid w:val="00FF37DD"/>
    <w:rsid w:val="0B6269B1"/>
    <w:rsid w:val="0BCA12D3"/>
    <w:rsid w:val="0D0C0275"/>
    <w:rsid w:val="1137651F"/>
    <w:rsid w:val="14327E9B"/>
    <w:rsid w:val="143B164D"/>
    <w:rsid w:val="14D70FCE"/>
    <w:rsid w:val="18507C3F"/>
    <w:rsid w:val="1D0D4029"/>
    <w:rsid w:val="1D860B86"/>
    <w:rsid w:val="1F114822"/>
    <w:rsid w:val="20A25553"/>
    <w:rsid w:val="20B4156C"/>
    <w:rsid w:val="210C78AB"/>
    <w:rsid w:val="227C386A"/>
    <w:rsid w:val="22D06CE3"/>
    <w:rsid w:val="26204BEB"/>
    <w:rsid w:val="288C1F81"/>
    <w:rsid w:val="2E376CC2"/>
    <w:rsid w:val="30135F97"/>
    <w:rsid w:val="319573D8"/>
    <w:rsid w:val="324C6254"/>
    <w:rsid w:val="3270647E"/>
    <w:rsid w:val="32E27AB0"/>
    <w:rsid w:val="342E1852"/>
    <w:rsid w:val="37AB35AA"/>
    <w:rsid w:val="39CF096B"/>
    <w:rsid w:val="41AA11DB"/>
    <w:rsid w:val="44C75D43"/>
    <w:rsid w:val="45075FBF"/>
    <w:rsid w:val="45176832"/>
    <w:rsid w:val="466A1A58"/>
    <w:rsid w:val="46867F4B"/>
    <w:rsid w:val="482D4FCF"/>
    <w:rsid w:val="4A2639D7"/>
    <w:rsid w:val="4C341CD3"/>
    <w:rsid w:val="4D0F2728"/>
    <w:rsid w:val="4EE21652"/>
    <w:rsid w:val="56983CEB"/>
    <w:rsid w:val="586158FA"/>
    <w:rsid w:val="5BD57585"/>
    <w:rsid w:val="5DB44505"/>
    <w:rsid w:val="617442CE"/>
    <w:rsid w:val="63091106"/>
    <w:rsid w:val="65997D71"/>
    <w:rsid w:val="6832218E"/>
    <w:rsid w:val="6A230279"/>
    <w:rsid w:val="6AAD4F0C"/>
    <w:rsid w:val="6AC320FB"/>
    <w:rsid w:val="6EC41DCE"/>
    <w:rsid w:val="7029088A"/>
    <w:rsid w:val="751D402B"/>
    <w:rsid w:val="760C5A1C"/>
    <w:rsid w:val="773F34A6"/>
    <w:rsid w:val="7BAC3F11"/>
    <w:rsid w:val="7BD31296"/>
    <w:rsid w:val="7C2F0688"/>
    <w:rsid w:val="7C8731C1"/>
    <w:rsid w:val="7FF92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nhideWhenUsed="0" w:uiPriority="9" w:semiHidden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qFormat="1" w:unhideWhenUsed="0" w:uiPriority="0" w:semiHidden="0" w:name="Normal Indent"/>
    <w:lsdException w:uiPriority="99" w:name="footnote text"/>
    <w:lsdException w:unhideWhenUsed="0" w:uiPriority="0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qFormat="1" w:uiPriority="1" w:semiHidden="0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qFormat="1" w:unhideWhenUsed="0" w:uiPriority="99" w:name="Date"/>
    <w:lsdException w:qFormat="1" w:unhideWhenUsed="0" w:uiPriority="0" w:semiHidden="0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nhideWhenUsed="0" w:uiPriority="0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nhideWhenUsed="0" w:uiPriority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paragraph" w:styleId="3">
    <w:name w:val="heading 4"/>
    <w:basedOn w:val="1"/>
    <w:next w:val="1"/>
    <w:qFormat/>
    <w:locked/>
    <w:uiPriority w:val="9"/>
    <w:pPr>
      <w:keepNext/>
      <w:keepLines/>
      <w:spacing w:before="280" w:after="290" w:line="376" w:lineRule="atLeast"/>
      <w:outlineLvl w:val="3"/>
    </w:pPr>
    <w:rPr>
      <w:rFonts w:ascii="Calibri Light" w:hAnsi="Calibri Light" w:eastAsia="宋体" w:cs="Times New Roman"/>
      <w:b/>
      <w:bCs/>
      <w:sz w:val="28"/>
      <w:szCs w:val="28"/>
    </w:rPr>
  </w:style>
  <w:style w:type="character" w:default="1" w:styleId="18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列出段落1"/>
    <w:basedOn w:val="1"/>
    <w:qFormat/>
    <w:uiPriority w:val="0"/>
    <w:pPr>
      <w:ind w:firstLine="420" w:firstLineChars="200"/>
    </w:pPr>
  </w:style>
  <w:style w:type="paragraph" w:styleId="4">
    <w:name w:val="Normal Indent"/>
    <w:basedOn w:val="1"/>
    <w:qFormat/>
    <w:uiPriority w:val="0"/>
    <w:pPr>
      <w:ind w:firstLine="420" w:firstLineChars="200"/>
    </w:pPr>
  </w:style>
  <w:style w:type="paragraph" w:styleId="5">
    <w:name w:val="annotation text"/>
    <w:basedOn w:val="1"/>
    <w:semiHidden/>
    <w:uiPriority w:val="0"/>
    <w:pPr>
      <w:jc w:val="left"/>
    </w:pPr>
    <w:rPr>
      <w:rFonts w:ascii="宋体" w:hAnsi="宋体"/>
    </w:rPr>
  </w:style>
  <w:style w:type="paragraph" w:styleId="6">
    <w:name w:val="Body Text"/>
    <w:basedOn w:val="1"/>
    <w:next w:val="1"/>
    <w:unhideWhenUsed/>
    <w:qFormat/>
    <w:uiPriority w:val="1"/>
    <w:pPr>
      <w:spacing w:beforeLines="0" w:afterLines="0"/>
    </w:pPr>
    <w:rPr>
      <w:rFonts w:hint="eastAsia"/>
      <w:sz w:val="31"/>
    </w:rPr>
  </w:style>
  <w:style w:type="paragraph" w:styleId="7">
    <w:name w:val="Body Text Indent"/>
    <w:basedOn w:val="1"/>
    <w:next w:val="8"/>
    <w:unhideWhenUsed/>
    <w:qFormat/>
    <w:uiPriority w:val="99"/>
    <w:pPr>
      <w:spacing w:after="120" w:line="360" w:lineRule="auto"/>
      <w:ind w:left="420" w:leftChars="200" w:firstLine="200" w:firstLineChars="200"/>
    </w:pPr>
    <w:rPr>
      <w:rFonts w:ascii="Times New Roman" w:hAnsi="Times New Roman" w:eastAsia="仿宋" w:cs="Times New Roman"/>
      <w:sz w:val="28"/>
      <w:szCs w:val="28"/>
    </w:rPr>
  </w:style>
  <w:style w:type="paragraph" w:styleId="8">
    <w:name w:val="annotation subject"/>
    <w:basedOn w:val="5"/>
    <w:next w:val="1"/>
    <w:semiHidden/>
    <w:uiPriority w:val="0"/>
    <w:rPr>
      <w:rFonts w:ascii="Times New Roman" w:hAnsi="Times New Roman"/>
      <w:b/>
      <w:bCs/>
    </w:rPr>
  </w:style>
  <w:style w:type="paragraph" w:styleId="9">
    <w:name w:val="Plain Text"/>
    <w:basedOn w:val="1"/>
    <w:uiPriority w:val="0"/>
    <w:rPr>
      <w:rFonts w:ascii="宋体" w:hAnsi="Courier New" w:cs="Courier New"/>
      <w:szCs w:val="21"/>
    </w:rPr>
  </w:style>
  <w:style w:type="paragraph" w:styleId="10">
    <w:name w:val="Date"/>
    <w:basedOn w:val="1"/>
    <w:next w:val="1"/>
    <w:link w:val="19"/>
    <w:semiHidden/>
    <w:qFormat/>
    <w:uiPriority w:val="99"/>
    <w:pPr>
      <w:ind w:left="100" w:leftChars="2500"/>
    </w:pPr>
    <w:rPr>
      <w:kern w:val="0"/>
      <w:sz w:val="20"/>
      <w:szCs w:val="20"/>
    </w:rPr>
  </w:style>
  <w:style w:type="paragraph" w:styleId="11">
    <w:name w:val="footer"/>
    <w:basedOn w:val="1"/>
    <w:link w:val="21"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12">
    <w:name w:val="header"/>
    <w:basedOn w:val="1"/>
    <w:link w:val="20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13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14">
    <w:name w:val="Body Text First Indent"/>
    <w:basedOn w:val="6"/>
    <w:qFormat/>
    <w:uiPriority w:val="0"/>
    <w:pPr>
      <w:snapToGrid/>
      <w:spacing w:after="120" w:line="240" w:lineRule="auto"/>
      <w:ind w:firstLine="420" w:firstLineChars="100"/>
      <w:jc w:val="both"/>
    </w:pPr>
    <w:rPr>
      <w:sz w:val="21"/>
      <w:szCs w:val="24"/>
    </w:rPr>
  </w:style>
  <w:style w:type="paragraph" w:styleId="15">
    <w:name w:val="Body Text First Indent 2"/>
    <w:basedOn w:val="7"/>
    <w:unhideWhenUsed/>
    <w:qFormat/>
    <w:uiPriority w:val="99"/>
    <w:pPr>
      <w:snapToGrid w:val="0"/>
      <w:spacing w:after="0" w:line="765" w:lineRule="atLeast"/>
      <w:ind w:left="0" w:leftChars="0" w:firstLine="960" w:firstLineChars="0"/>
      <w:jc w:val="center"/>
      <w:textAlignment w:val="baseline"/>
    </w:pPr>
    <w:rPr>
      <w:rFonts w:eastAsia="华文新魏"/>
      <w:color w:val="000000"/>
      <w:kern w:val="0"/>
      <w:sz w:val="72"/>
      <w:szCs w:val="20"/>
    </w:rPr>
  </w:style>
  <w:style w:type="table" w:styleId="17">
    <w:name w:val="Table Grid"/>
    <w:basedOn w:val="16"/>
    <w:qFormat/>
    <w:locked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9">
    <w:name w:val="日期 Char"/>
    <w:link w:val="10"/>
    <w:semiHidden/>
    <w:qFormat/>
    <w:locked/>
    <w:uiPriority w:val="99"/>
    <w:rPr>
      <w:rFonts w:ascii="Calibri" w:hAnsi="Calibri" w:eastAsia="宋体" w:cs="Times New Roman"/>
    </w:rPr>
  </w:style>
  <w:style w:type="character" w:customStyle="1" w:styleId="20">
    <w:name w:val="页眉 Char"/>
    <w:link w:val="12"/>
    <w:semiHidden/>
    <w:qFormat/>
    <w:locked/>
    <w:uiPriority w:val="99"/>
    <w:rPr>
      <w:rFonts w:ascii="Calibri" w:hAnsi="Calibri" w:eastAsia="宋体" w:cs="Times New Roman"/>
      <w:sz w:val="18"/>
      <w:szCs w:val="18"/>
    </w:rPr>
  </w:style>
  <w:style w:type="character" w:customStyle="1" w:styleId="21">
    <w:name w:val="页脚 Char"/>
    <w:link w:val="11"/>
    <w:semiHidden/>
    <w:qFormat/>
    <w:locked/>
    <w:uiPriority w:val="99"/>
    <w:rPr>
      <w:rFonts w:ascii="Calibri" w:hAnsi="Calibri" w:eastAsia="宋体" w:cs="Times New Roman"/>
      <w:sz w:val="18"/>
      <w:szCs w:val="18"/>
    </w:rPr>
  </w:style>
  <w:style w:type="paragraph" w:customStyle="1" w:styleId="22">
    <w:name w:val="Default"/>
    <w:uiPriority w:val="0"/>
    <w:pPr>
      <w:widowControl w:val="0"/>
      <w:autoSpaceDE w:val="0"/>
      <w:autoSpaceDN w:val="0"/>
      <w:adjustRightInd w:val="0"/>
    </w:pPr>
    <w:rPr>
      <w:rFonts w:ascii="黑体" w:hAnsi="Times New Roman" w:eastAsia="黑体" w:cs="Times New Roman"/>
      <w:lang w:val="en-US" w:eastAsia="zh-CN" w:bidi="ar-SA"/>
    </w:rPr>
  </w:style>
  <w:style w:type="paragraph" w:customStyle="1" w:styleId="23">
    <w:name w:val="列表段落1"/>
    <w:basedOn w:val="1"/>
    <w:uiPriority w:val="0"/>
    <w:pPr>
      <w:spacing w:line="460" w:lineRule="exact"/>
      <w:ind w:firstLine="420" w:firstLineChars="200"/>
    </w:pPr>
    <w:rPr>
      <w:spacing w:val="6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46</Words>
  <Characters>263</Characters>
  <Lines>2</Lines>
  <Paragraphs>1</Paragraphs>
  <TotalTime>1</TotalTime>
  <ScaleCrop>false</ScaleCrop>
  <LinksUpToDate>false</LinksUpToDate>
  <CharactersWithSpaces>308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2021-04-27T01:10:00Z</dcterms:created>
  <dc:creator>Administrator</dc:creator>
  <cp:lastModifiedBy>伍思任</cp:lastModifiedBy>
  <cp:lastPrinted>2021-08-18T02:00:00Z</cp:lastPrinted>
  <dcterms:modified xsi:type="dcterms:W3CDTF">2022-03-18T07:43:12Z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C5A9BD3BDE5443EE8CE1B63CE8D2EFE0</vt:lpwstr>
  </property>
</Properties>
</file>