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24"/>
          <w:szCs w:val="32"/>
        </w:rPr>
      </w:pPr>
      <w:bookmarkStart w:id="0" w:name="_Toc8671"/>
      <w:bookmarkStart w:id="1" w:name="_Toc8161080"/>
      <w:bookmarkStart w:id="2" w:name="_Toc32235"/>
      <w:r>
        <w:rPr>
          <w:rFonts w:hint="eastAsia"/>
          <w:b/>
          <w:bCs/>
          <w:sz w:val="24"/>
          <w:szCs w:val="32"/>
        </w:rPr>
        <w:t>表1资格性审查表</w:t>
      </w:r>
      <w:bookmarkEnd w:id="0"/>
      <w:bookmarkEnd w:id="1"/>
      <w:bookmarkEnd w:id="2"/>
    </w:p>
    <w:tbl>
      <w:tblPr>
        <w:tblStyle w:val="1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30"/>
        <w:gridCol w:w="3508"/>
        <w:gridCol w:w="1032"/>
        <w:gridCol w:w="1032"/>
        <w:gridCol w:w="1033"/>
        <w:gridCol w:w="1033"/>
        <w:gridCol w:w="103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blHeader/>
          <w:jc w:val="center"/>
        </w:trPr>
        <w:tc>
          <w:tcPr>
            <w:tcW w:w="710" w:type="dxa"/>
            <w:vMerge w:val="restart"/>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b/>
              </w:rPr>
              <w:t>序号</w:t>
            </w:r>
          </w:p>
        </w:tc>
        <w:tc>
          <w:tcPr>
            <w:tcW w:w="3538" w:type="dxa"/>
            <w:gridSpan w:val="2"/>
            <w:vMerge w:val="restart"/>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检查项目</w:t>
            </w:r>
          </w:p>
        </w:tc>
        <w:tc>
          <w:tcPr>
            <w:tcW w:w="5163" w:type="dxa"/>
            <w:gridSpan w:val="5"/>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供应商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blHeader/>
          <w:jc w:val="center"/>
        </w:trPr>
        <w:tc>
          <w:tcPr>
            <w:tcW w:w="710" w:type="dxa"/>
            <w:vMerge w:val="continue"/>
            <w:noWrap w:val="0"/>
            <w:vAlign w:val="center"/>
          </w:tcPr>
          <w:p>
            <w:pPr>
              <w:widowControl/>
              <w:spacing w:before="24" w:beforeLines="10" w:after="24" w:afterLines="10" w:line="300" w:lineRule="exact"/>
              <w:rPr>
                <w:rFonts w:hint="eastAsia" w:ascii="宋体" w:hAnsi="宋体" w:cs="宋体"/>
                <w:b/>
              </w:rPr>
            </w:pPr>
          </w:p>
        </w:tc>
        <w:tc>
          <w:tcPr>
            <w:tcW w:w="3538" w:type="dxa"/>
            <w:gridSpan w:val="2"/>
            <w:vMerge w:val="continue"/>
            <w:noWrap w:val="0"/>
            <w:vAlign w:val="center"/>
          </w:tcPr>
          <w:p>
            <w:pPr>
              <w:widowControl/>
              <w:spacing w:before="24" w:beforeLines="10" w:after="24" w:afterLines="10" w:line="300" w:lineRule="exact"/>
              <w:rPr>
                <w:rFonts w:hint="eastAsia" w:ascii="宋体" w:hAnsi="宋体" w:cs="宋体"/>
                <w:b/>
              </w:rPr>
            </w:pPr>
          </w:p>
        </w:tc>
        <w:tc>
          <w:tcPr>
            <w:tcW w:w="1032"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1</w:t>
            </w:r>
          </w:p>
        </w:tc>
        <w:tc>
          <w:tcPr>
            <w:tcW w:w="1032"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2</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3</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4</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5</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依法设立，具有独立法人资格，持有有效的营业执照（或事业单位法人证书或社会团体法人登记证书） (供应商为企业的，还应具备组织机构代码证，按照“三证合一”或“五证合一”登记制度进行登记的，可仅提供营业执照副本)。</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信誉要求：</w:t>
            </w:r>
          </w:p>
          <w:p>
            <w:pPr>
              <w:widowControl/>
              <w:spacing w:before="24" w:beforeLines="10" w:after="24" w:afterLines="10" w:line="300" w:lineRule="exact"/>
              <w:rPr>
                <w:rFonts w:hint="eastAsia" w:ascii="宋体" w:hAnsi="宋体" w:cs="宋体"/>
              </w:rPr>
            </w:pPr>
            <w:r>
              <w:rPr>
                <w:rFonts w:hint="eastAsia" w:ascii="宋体" w:hAnsi="宋体" w:cs="宋体"/>
              </w:rPr>
              <w:t>①近3年内不得存在下列情形：因责任引起的与招标人的仲裁、诉讼和弄虚作假的；被相关行政监督部门判定并发布骗取中标的、或以他人名义投标等违法行为；被责令停业或处于破产状态的；被暂停或取消投标资格的；财产被重组、接管、查封、扣押或冻结的；提供的中介服务因重大执业质量等问题受到相关部门通报的。</w:t>
            </w:r>
          </w:p>
          <w:p>
            <w:pPr>
              <w:widowControl/>
              <w:spacing w:before="24" w:beforeLines="10" w:after="24" w:afterLines="10" w:line="300" w:lineRule="exact"/>
              <w:rPr>
                <w:rFonts w:hint="eastAsia" w:ascii="宋体" w:hAnsi="宋体" w:cs="宋体"/>
              </w:rPr>
            </w:pPr>
            <w:r>
              <w:rPr>
                <w:rFonts w:hint="eastAsia" w:ascii="宋体" w:hAnsi="宋体" w:cs="宋体"/>
              </w:rPr>
              <w:t>②响应单位负责人为同一人或者存在控股、管理关系的不同单位，不得参加同一项目应答。</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供应商不得存在下列情形之一:</w:t>
            </w:r>
          </w:p>
          <w:p>
            <w:pPr>
              <w:widowControl/>
              <w:spacing w:before="24" w:beforeLines="10" w:after="24" w:afterLines="10" w:line="300" w:lineRule="exact"/>
              <w:rPr>
                <w:rFonts w:hint="eastAsia" w:ascii="宋体" w:hAnsi="宋体" w:cs="宋体"/>
                <w:lang w:eastAsia="zh-CN"/>
              </w:rPr>
            </w:pPr>
            <w:r>
              <w:rPr>
                <w:rFonts w:hint="eastAsia" w:ascii="宋体" w:hAnsi="宋体" w:cs="宋体"/>
              </w:rPr>
              <w:t>（1）处于被责令停产停业、暂扣或者吊销执照、暂扣或者吊销许可证、吊销资质证书状态</w:t>
            </w:r>
            <w:r>
              <w:rPr>
                <w:rFonts w:hint="eastAsia" w:ascii="宋体" w:hAnsi="宋体" w:cs="宋体"/>
                <w:lang w:eastAsia="zh-CN"/>
              </w:rPr>
              <w:t>；</w:t>
            </w:r>
          </w:p>
          <w:p>
            <w:pPr>
              <w:widowControl/>
              <w:spacing w:before="24" w:beforeLines="10" w:after="24" w:afterLines="10" w:line="300" w:lineRule="exact"/>
              <w:rPr>
                <w:rFonts w:hint="eastAsia" w:ascii="宋体" w:hAnsi="宋体" w:cs="宋体"/>
                <w:lang w:eastAsia="zh-CN"/>
              </w:rPr>
            </w:pPr>
            <w:r>
              <w:rPr>
                <w:rFonts w:hint="eastAsia" w:ascii="宋体" w:hAnsi="宋体" w:cs="宋体"/>
              </w:rPr>
              <w:t>（2）进入清算程序，或被宣告破产，或其他丧失履约能力的情形</w:t>
            </w:r>
            <w:r>
              <w:rPr>
                <w:rFonts w:hint="eastAsia" w:ascii="宋体" w:hAnsi="宋体" w:cs="宋体"/>
                <w:lang w:eastAsia="zh-CN"/>
              </w:rPr>
              <w:t>；</w:t>
            </w:r>
          </w:p>
          <w:p>
            <w:pPr>
              <w:widowControl/>
              <w:spacing w:before="24" w:beforeLines="10" w:after="24" w:afterLines="10" w:line="300" w:lineRule="exact"/>
              <w:rPr>
                <w:rFonts w:hint="eastAsia" w:ascii="宋体" w:hAnsi="宋体" w:cs="宋体"/>
              </w:rPr>
            </w:pPr>
            <w:r>
              <w:rPr>
                <w:rFonts w:hint="eastAsia" w:ascii="宋体" w:hAnsi="宋体" w:cs="宋体"/>
              </w:rPr>
              <w:t>（3）被采购人或采购人上级单位纳入黑名单；</w:t>
            </w:r>
          </w:p>
          <w:p>
            <w:pPr>
              <w:widowControl/>
              <w:spacing w:before="24" w:beforeLines="10" w:after="24" w:afterLines="10" w:line="300" w:lineRule="exact"/>
              <w:rPr>
                <w:rFonts w:hint="eastAsia" w:ascii="宋体" w:hAnsi="宋体" w:cs="宋体"/>
              </w:rPr>
            </w:pPr>
            <w:r>
              <w:rPr>
                <w:rFonts w:hint="eastAsia" w:ascii="宋体" w:hAnsi="宋体" w:cs="宋体"/>
              </w:rPr>
              <w:t>（4）在全国企业信用信息公示系统（http://www.gsxt.gov.cn）中被列入严重违法失信企业名单的或在“信用中国”网站（www.creditchina.gov.cn）中被列入失信被执行人名单的。</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供应商参加本次采购活动前3年内没有重大违法记录的书面声明</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联合体协议书（如需）</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0" w:type="dxa"/>
            <w:noWrap w:val="0"/>
            <w:vAlign w:val="center"/>
          </w:tcPr>
          <w:p>
            <w:pPr>
              <w:widowControl/>
              <w:numPr>
                <w:ilvl w:val="0"/>
                <w:numId w:val="1"/>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rPr>
              <w:t>供应商特定资格条件</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248" w:type="dxa"/>
            <w:gridSpan w:val="3"/>
            <w:noWrap w:val="0"/>
            <w:vAlign w:val="center"/>
          </w:tcPr>
          <w:p>
            <w:pPr>
              <w:widowControl/>
              <w:tabs>
                <w:tab w:val="center" w:pos="1957"/>
                <w:tab w:val="left" w:pos="3002"/>
              </w:tabs>
              <w:spacing w:before="24" w:beforeLines="10" w:after="24" w:afterLines="10" w:line="300" w:lineRule="exact"/>
              <w:jc w:val="left"/>
              <w:rPr>
                <w:rFonts w:hint="eastAsia" w:ascii="宋体" w:hAnsi="宋体" w:cs="宋体"/>
              </w:rPr>
            </w:pPr>
            <w:r>
              <w:rPr>
                <w:rFonts w:hint="eastAsia" w:ascii="宋体" w:hAnsi="宋体" w:cs="宋体"/>
              </w:rPr>
              <w:tab/>
            </w:r>
            <w:r>
              <w:rPr>
                <w:rFonts w:hint="eastAsia" w:ascii="宋体" w:hAnsi="宋体" w:cs="宋体"/>
              </w:rPr>
              <w:t>结论</w:t>
            </w:r>
            <w:r>
              <w:rPr>
                <w:rFonts w:hint="eastAsia" w:ascii="宋体" w:hAnsi="宋体" w:cs="宋体"/>
                <w:lang w:eastAsia="zh-CN"/>
              </w:rPr>
              <w:t>（</w:t>
            </w:r>
            <w:r>
              <w:rPr>
                <w:rFonts w:hint="eastAsia" w:ascii="宋体" w:hAnsi="宋体" w:cs="宋体"/>
                <w:lang w:val="en-US" w:eastAsia="zh-CN"/>
              </w:rPr>
              <w:t>合格/不合格）</w:t>
            </w:r>
            <w:r>
              <w:rPr>
                <w:rFonts w:hint="eastAsia" w:ascii="宋体" w:hAnsi="宋体" w:cs="宋体"/>
              </w:rPr>
              <w:tab/>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922" w:hRule="atLeast"/>
          <w:jc w:val="center"/>
        </w:trPr>
        <w:tc>
          <w:tcPr>
            <w:tcW w:w="740" w:type="dxa"/>
            <w:gridSpan w:val="2"/>
            <w:noWrap w:val="0"/>
            <w:textDirection w:val="tbRlV"/>
            <w:vAlign w:val="center"/>
          </w:tcPr>
          <w:p>
            <w:pPr>
              <w:widowControl/>
              <w:spacing w:before="24" w:beforeLines="10" w:after="24" w:afterLines="10" w:line="300" w:lineRule="exact"/>
              <w:ind w:left="500" w:right="113" w:hanging="500" w:hangingChars="200"/>
              <w:jc w:val="center"/>
              <w:rPr>
                <w:rFonts w:hint="eastAsia" w:ascii="宋体" w:hAnsi="宋体" w:cs="宋体"/>
                <w:spacing w:val="20"/>
                <w:szCs w:val="21"/>
              </w:rPr>
            </w:pPr>
            <w:r>
              <w:rPr>
                <w:rFonts w:hint="eastAsia" w:ascii="宋体" w:hAnsi="宋体" w:cs="宋体"/>
                <w:spacing w:val="20"/>
                <w:szCs w:val="21"/>
              </w:rPr>
              <w:t>备注</w:t>
            </w:r>
          </w:p>
        </w:tc>
        <w:tc>
          <w:tcPr>
            <w:tcW w:w="8671" w:type="dxa"/>
            <w:gridSpan w:val="6"/>
            <w:noWrap w:val="0"/>
            <w:vAlign w:val="center"/>
          </w:tcPr>
          <w:p>
            <w:pPr>
              <w:pStyle w:val="6"/>
              <w:spacing w:after="0" w:line="300" w:lineRule="exact"/>
              <w:ind w:left="0" w:leftChars="0"/>
              <w:rPr>
                <w:rFonts w:hint="eastAsia" w:cs="宋体"/>
                <w:szCs w:val="21"/>
              </w:rPr>
            </w:pPr>
            <w:r>
              <w:rPr>
                <w:rFonts w:hint="eastAsia" w:cs="宋体"/>
                <w:szCs w:val="21"/>
              </w:rPr>
              <w:t>1. 上述内容合格用“√”表示，不合格用“×”表示；</w:t>
            </w:r>
          </w:p>
          <w:p>
            <w:pPr>
              <w:widowControl/>
              <w:spacing w:line="300" w:lineRule="exact"/>
              <w:ind w:left="420" w:hanging="420" w:hangingChars="200"/>
              <w:rPr>
                <w:rFonts w:hint="eastAsia" w:ascii="宋体" w:hAnsi="宋体" w:cs="宋体"/>
                <w:szCs w:val="21"/>
              </w:rPr>
            </w:pPr>
            <w:r>
              <w:rPr>
                <w:rFonts w:hint="eastAsia" w:ascii="宋体" w:hAnsi="宋体" w:cs="宋体"/>
                <w:szCs w:val="21"/>
              </w:rPr>
              <w:t>2. 以上内容有一项不合格的，则资格性评审的综合评定结果为不合格。</w:t>
            </w:r>
          </w:p>
        </w:tc>
      </w:tr>
    </w:tbl>
    <w:p>
      <w:pPr>
        <w:rPr>
          <w:rFonts w:hint="eastAsia"/>
        </w:rPr>
      </w:pPr>
      <w:bookmarkStart w:id="3" w:name="_Toc8161081"/>
      <w:bookmarkStart w:id="4" w:name="_Toc24460"/>
      <w:bookmarkStart w:id="5" w:name="_Toc22662"/>
    </w:p>
    <w:p>
      <w:pPr>
        <w:pStyle w:val="27"/>
        <w:rPr>
          <w:rFonts w:hint="eastAsia"/>
        </w:rPr>
      </w:pPr>
    </w:p>
    <w:p>
      <w:pPr>
        <w:pStyle w:val="27"/>
        <w:rPr>
          <w:rFonts w:hint="eastAsia"/>
        </w:rPr>
      </w:pPr>
    </w:p>
    <w:p>
      <w:pPr>
        <w:pStyle w:val="27"/>
        <w:rPr>
          <w:rFonts w:hint="eastAsia"/>
        </w:rPr>
      </w:pPr>
    </w:p>
    <w:p>
      <w:pPr>
        <w:pStyle w:val="27"/>
        <w:rPr>
          <w:rFonts w:hint="eastAsia"/>
        </w:rPr>
      </w:pPr>
    </w:p>
    <w:p>
      <w:pPr>
        <w:pStyle w:val="27"/>
        <w:rPr>
          <w:rFonts w:hint="eastAsia"/>
        </w:rPr>
      </w:pPr>
    </w:p>
    <w:p>
      <w:pPr>
        <w:jc w:val="center"/>
        <w:rPr>
          <w:rFonts w:hint="eastAsia"/>
          <w:b/>
          <w:bCs/>
          <w:sz w:val="24"/>
          <w:szCs w:val="32"/>
        </w:rPr>
      </w:pPr>
      <w:r>
        <w:rPr>
          <w:rFonts w:hint="eastAsia"/>
          <w:b/>
          <w:bCs/>
          <w:sz w:val="24"/>
          <w:szCs w:val="32"/>
        </w:rPr>
        <w:t>表2初步审查表</w:t>
      </w:r>
      <w:bookmarkEnd w:id="3"/>
      <w:bookmarkEnd w:id="4"/>
      <w:bookmarkEnd w:id="5"/>
    </w:p>
    <w:tbl>
      <w:tblPr>
        <w:tblStyle w:val="1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3"/>
        <w:gridCol w:w="43"/>
        <w:gridCol w:w="3495"/>
        <w:gridCol w:w="1032"/>
        <w:gridCol w:w="1032"/>
        <w:gridCol w:w="1033"/>
        <w:gridCol w:w="1033"/>
        <w:gridCol w:w="103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blHeader/>
          <w:jc w:val="center"/>
        </w:trPr>
        <w:tc>
          <w:tcPr>
            <w:tcW w:w="473" w:type="dxa"/>
            <w:vMerge w:val="restart"/>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b/>
              </w:rPr>
              <w:t>序号</w:t>
            </w:r>
          </w:p>
        </w:tc>
        <w:tc>
          <w:tcPr>
            <w:tcW w:w="3538" w:type="dxa"/>
            <w:gridSpan w:val="2"/>
            <w:vMerge w:val="restart"/>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检查项目</w:t>
            </w:r>
          </w:p>
        </w:tc>
        <w:tc>
          <w:tcPr>
            <w:tcW w:w="5163" w:type="dxa"/>
            <w:gridSpan w:val="5"/>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供应商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blHeader/>
          <w:jc w:val="center"/>
        </w:trPr>
        <w:tc>
          <w:tcPr>
            <w:tcW w:w="473" w:type="dxa"/>
            <w:vMerge w:val="continue"/>
            <w:noWrap w:val="0"/>
            <w:vAlign w:val="center"/>
          </w:tcPr>
          <w:p>
            <w:pPr>
              <w:widowControl/>
              <w:spacing w:before="24" w:beforeLines="10" w:after="24" w:afterLines="10" w:line="300" w:lineRule="exact"/>
              <w:rPr>
                <w:rFonts w:hint="eastAsia" w:ascii="宋体" w:hAnsi="宋体" w:cs="宋体"/>
                <w:b/>
              </w:rPr>
            </w:pPr>
          </w:p>
        </w:tc>
        <w:tc>
          <w:tcPr>
            <w:tcW w:w="3538" w:type="dxa"/>
            <w:gridSpan w:val="2"/>
            <w:vMerge w:val="continue"/>
            <w:noWrap w:val="0"/>
            <w:vAlign w:val="center"/>
          </w:tcPr>
          <w:p>
            <w:pPr>
              <w:widowControl/>
              <w:spacing w:before="24" w:beforeLines="10" w:after="24" w:afterLines="10" w:line="300" w:lineRule="exact"/>
              <w:rPr>
                <w:rFonts w:hint="eastAsia" w:ascii="宋体" w:hAnsi="宋体" w:cs="宋体"/>
                <w:b/>
              </w:rPr>
            </w:pPr>
          </w:p>
        </w:tc>
        <w:tc>
          <w:tcPr>
            <w:tcW w:w="1032"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1</w:t>
            </w:r>
          </w:p>
        </w:tc>
        <w:tc>
          <w:tcPr>
            <w:tcW w:w="1032"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2</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3</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4</w:t>
            </w:r>
          </w:p>
        </w:tc>
        <w:tc>
          <w:tcPr>
            <w:tcW w:w="103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5</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szCs w:val="21"/>
              </w:rPr>
              <w:t>响应文件按照磋商文件规定要求签署、盖章</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szCs w:val="21"/>
              </w:rPr>
              <w:t>响应文件满足磋商文件规定的有效期</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szCs w:val="21"/>
              </w:rPr>
            </w:pPr>
            <w:r>
              <w:rPr>
                <w:rFonts w:hint="eastAsia" w:ascii="宋体" w:hAnsi="宋体" w:cs="宋体"/>
                <w:szCs w:val="21"/>
              </w:rPr>
              <w:t>报价未超过采购预算</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szCs w:val="21"/>
              </w:rPr>
            </w:pPr>
            <w:r>
              <w:rPr>
                <w:rFonts w:hint="eastAsia" w:ascii="宋体" w:hAnsi="宋体" w:cs="宋体"/>
                <w:szCs w:val="21"/>
              </w:rPr>
              <w:t>递交唯一报价</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szCs w:val="21"/>
              </w:rPr>
            </w:pPr>
            <w:r>
              <w:rPr>
                <w:rFonts w:hint="eastAsia" w:ascii="宋体" w:hAnsi="宋体" w:cs="宋体"/>
                <w:szCs w:val="21"/>
              </w:rPr>
              <w:t>响应文件中没有采购人不能接受的条件</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widowControl/>
              <w:numPr>
                <w:ilvl w:val="0"/>
                <w:numId w:val="2"/>
              </w:numPr>
              <w:spacing w:before="24" w:beforeLines="10" w:after="24" w:afterLines="10" w:line="300" w:lineRule="exact"/>
              <w:jc w:val="center"/>
              <w:rPr>
                <w:rFonts w:hint="eastAsia" w:ascii="宋体" w:hAnsi="宋体" w:cs="宋体"/>
              </w:rPr>
            </w:pPr>
          </w:p>
        </w:tc>
        <w:tc>
          <w:tcPr>
            <w:tcW w:w="3538" w:type="dxa"/>
            <w:gridSpan w:val="2"/>
            <w:noWrap w:val="0"/>
            <w:vAlign w:val="center"/>
          </w:tcPr>
          <w:p>
            <w:pPr>
              <w:widowControl/>
              <w:spacing w:before="24" w:beforeLines="10" w:after="24" w:afterLines="10" w:line="300" w:lineRule="exact"/>
              <w:rPr>
                <w:rFonts w:hint="eastAsia" w:ascii="宋体" w:hAnsi="宋体" w:cs="宋体"/>
                <w:szCs w:val="21"/>
              </w:rPr>
            </w:pPr>
            <w:r>
              <w:rPr>
                <w:rFonts w:hint="eastAsia" w:ascii="宋体" w:hAnsi="宋体" w:cs="宋体"/>
                <w:kern w:val="0"/>
                <w:szCs w:val="21"/>
              </w:rPr>
              <w:t>不符合法律、规章、</w:t>
            </w:r>
            <w:r>
              <w:rPr>
                <w:rFonts w:hint="eastAsia" w:ascii="宋体" w:hAnsi="宋体" w:cs="宋体"/>
                <w:szCs w:val="21"/>
              </w:rPr>
              <w:t>规范性文件和磋商文件规定的</w:t>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11" w:type="dxa"/>
            <w:gridSpan w:val="3"/>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rPr>
              <w:t>结论</w:t>
            </w:r>
            <w:r>
              <w:rPr>
                <w:rFonts w:hint="eastAsia" w:ascii="宋体" w:hAnsi="宋体" w:cs="宋体"/>
                <w:lang w:eastAsia="zh-CN"/>
              </w:rPr>
              <w:t>（</w:t>
            </w:r>
            <w:r>
              <w:rPr>
                <w:rFonts w:hint="eastAsia" w:ascii="宋体" w:hAnsi="宋体" w:cs="宋体"/>
                <w:lang w:val="en-US" w:eastAsia="zh-CN"/>
              </w:rPr>
              <w:t>合格/不合格）</w:t>
            </w:r>
            <w:r>
              <w:rPr>
                <w:rFonts w:hint="eastAsia" w:ascii="宋体" w:hAnsi="宋体" w:cs="宋体"/>
              </w:rPr>
              <w:tab/>
            </w: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2"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c>
          <w:tcPr>
            <w:tcW w:w="103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516" w:type="dxa"/>
            <w:gridSpan w:val="2"/>
            <w:noWrap w:val="0"/>
            <w:textDirection w:val="tbRlV"/>
            <w:vAlign w:val="center"/>
          </w:tcPr>
          <w:p>
            <w:pPr>
              <w:widowControl/>
              <w:spacing w:before="24" w:beforeLines="10" w:after="24" w:afterLines="10" w:line="300" w:lineRule="exact"/>
              <w:ind w:left="113" w:right="113"/>
              <w:jc w:val="center"/>
              <w:rPr>
                <w:rFonts w:hint="eastAsia" w:ascii="宋体" w:hAnsi="宋体" w:cs="宋体"/>
              </w:rPr>
            </w:pPr>
            <w:r>
              <w:rPr>
                <w:rFonts w:hint="eastAsia" w:ascii="宋体" w:hAnsi="宋体" w:cs="宋体"/>
                <w:spacing w:val="20"/>
                <w:szCs w:val="21"/>
              </w:rPr>
              <w:t>备注</w:t>
            </w:r>
          </w:p>
        </w:tc>
        <w:tc>
          <w:tcPr>
            <w:tcW w:w="8658" w:type="dxa"/>
            <w:gridSpan w:val="6"/>
            <w:noWrap w:val="0"/>
            <w:vAlign w:val="center"/>
          </w:tcPr>
          <w:p>
            <w:pPr>
              <w:pStyle w:val="6"/>
              <w:spacing w:after="0" w:line="300" w:lineRule="exact"/>
              <w:ind w:left="0" w:leftChars="0"/>
              <w:rPr>
                <w:rFonts w:hint="eastAsia" w:cs="宋体"/>
                <w:szCs w:val="21"/>
              </w:rPr>
            </w:pPr>
            <w:r>
              <w:rPr>
                <w:rFonts w:hint="eastAsia" w:cs="宋体"/>
                <w:szCs w:val="21"/>
              </w:rPr>
              <w:t>1、上述内容合格用“√”表示，不合格用“×”表示；</w:t>
            </w:r>
          </w:p>
          <w:p>
            <w:pPr>
              <w:widowControl/>
              <w:spacing w:line="300" w:lineRule="exact"/>
              <w:rPr>
                <w:rFonts w:hint="eastAsia" w:ascii="宋体" w:hAnsi="宋体" w:cs="宋体"/>
              </w:rPr>
            </w:pPr>
            <w:r>
              <w:rPr>
                <w:rFonts w:hint="eastAsia" w:ascii="宋体" w:hAnsi="宋体" w:cs="宋体"/>
                <w:szCs w:val="21"/>
              </w:rPr>
              <w:t>2、以上内容有一项不合格的，则初步评审的综合评定结果为不合格。</w:t>
            </w:r>
          </w:p>
        </w:tc>
      </w:tr>
    </w:tbl>
    <w:p>
      <w:pPr>
        <w:jc w:val="center"/>
        <w:rPr>
          <w:rFonts w:hint="eastAsia"/>
          <w:b/>
          <w:bCs/>
          <w:sz w:val="24"/>
          <w:szCs w:val="32"/>
        </w:rPr>
      </w:pPr>
      <w:bookmarkStart w:id="6" w:name="_Toc3257"/>
      <w:bookmarkStart w:id="7" w:name="_Toc7227"/>
      <w:bookmarkStart w:id="8" w:name="_Toc8161083"/>
    </w:p>
    <w:p>
      <w:pPr>
        <w:jc w:val="center"/>
        <w:rPr>
          <w:rFonts w:hint="eastAsia"/>
          <w:b/>
          <w:bCs/>
          <w:sz w:val="24"/>
          <w:szCs w:val="32"/>
        </w:rPr>
      </w:pPr>
    </w:p>
    <w:p>
      <w:pPr>
        <w:jc w:val="center"/>
        <w:rPr>
          <w:rFonts w:hint="eastAsia"/>
          <w:b/>
          <w:bCs/>
          <w:sz w:val="24"/>
          <w:szCs w:val="32"/>
        </w:rPr>
      </w:pPr>
      <w:r>
        <w:rPr>
          <w:rFonts w:hint="eastAsia"/>
          <w:b/>
          <w:bCs/>
          <w:sz w:val="24"/>
          <w:szCs w:val="32"/>
        </w:rPr>
        <w:br w:type="page"/>
      </w:r>
      <w:r>
        <w:rPr>
          <w:rFonts w:hint="eastAsia"/>
          <w:b/>
          <w:bCs/>
          <w:sz w:val="24"/>
          <w:szCs w:val="32"/>
        </w:rPr>
        <w:t>表3符合性审查表</w:t>
      </w:r>
      <w:bookmarkEnd w:id="6"/>
      <w:bookmarkEnd w:id="7"/>
    </w:p>
    <w:tbl>
      <w:tblPr>
        <w:tblStyle w:val="1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
        <w:gridCol w:w="220"/>
        <w:gridCol w:w="3395"/>
        <w:gridCol w:w="1002"/>
        <w:gridCol w:w="1003"/>
        <w:gridCol w:w="1003"/>
        <w:gridCol w:w="1003"/>
        <w:gridCol w:w="100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blHeader/>
          <w:jc w:val="center"/>
        </w:trPr>
        <w:tc>
          <w:tcPr>
            <w:tcW w:w="457" w:type="dxa"/>
            <w:vMerge w:val="restart"/>
            <w:noWrap w:val="0"/>
            <w:vAlign w:val="center"/>
          </w:tcPr>
          <w:p>
            <w:pPr>
              <w:widowControl/>
              <w:spacing w:before="24" w:beforeLines="10" w:after="24" w:afterLines="10" w:line="300" w:lineRule="exact"/>
              <w:rPr>
                <w:rFonts w:hint="eastAsia" w:ascii="宋体" w:hAnsi="宋体" w:cs="宋体"/>
              </w:rPr>
            </w:pPr>
            <w:r>
              <w:rPr>
                <w:rFonts w:hint="eastAsia" w:ascii="宋体" w:hAnsi="宋体" w:cs="宋体"/>
                <w:b/>
              </w:rPr>
              <w:t>序号</w:t>
            </w:r>
          </w:p>
        </w:tc>
        <w:tc>
          <w:tcPr>
            <w:tcW w:w="3615" w:type="dxa"/>
            <w:gridSpan w:val="2"/>
            <w:vMerge w:val="restart"/>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检查项目</w:t>
            </w:r>
          </w:p>
        </w:tc>
        <w:tc>
          <w:tcPr>
            <w:tcW w:w="5014" w:type="dxa"/>
            <w:gridSpan w:val="5"/>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b/>
              </w:rPr>
              <w:t>供应商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blHeader/>
          <w:jc w:val="center"/>
        </w:trPr>
        <w:tc>
          <w:tcPr>
            <w:tcW w:w="457" w:type="dxa"/>
            <w:vMerge w:val="continue"/>
            <w:noWrap w:val="0"/>
            <w:vAlign w:val="center"/>
          </w:tcPr>
          <w:p>
            <w:pPr>
              <w:widowControl/>
              <w:spacing w:before="24" w:beforeLines="10" w:after="24" w:afterLines="10" w:line="300" w:lineRule="exact"/>
              <w:rPr>
                <w:rFonts w:hint="eastAsia" w:ascii="宋体" w:hAnsi="宋体" w:cs="宋体"/>
                <w:b/>
              </w:rPr>
            </w:pPr>
          </w:p>
        </w:tc>
        <w:tc>
          <w:tcPr>
            <w:tcW w:w="3615" w:type="dxa"/>
            <w:gridSpan w:val="2"/>
            <w:vMerge w:val="continue"/>
            <w:noWrap w:val="0"/>
            <w:vAlign w:val="center"/>
          </w:tcPr>
          <w:p>
            <w:pPr>
              <w:widowControl/>
              <w:spacing w:before="24" w:beforeLines="10" w:after="24" w:afterLines="10" w:line="300" w:lineRule="exact"/>
              <w:rPr>
                <w:rFonts w:hint="eastAsia" w:ascii="宋体" w:hAnsi="宋体" w:cs="宋体"/>
                <w:b/>
              </w:rPr>
            </w:pPr>
          </w:p>
        </w:tc>
        <w:tc>
          <w:tcPr>
            <w:tcW w:w="1002"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1</w:t>
            </w:r>
          </w:p>
        </w:tc>
        <w:tc>
          <w:tcPr>
            <w:tcW w:w="100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2</w:t>
            </w:r>
          </w:p>
        </w:tc>
        <w:tc>
          <w:tcPr>
            <w:tcW w:w="100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3</w:t>
            </w:r>
          </w:p>
        </w:tc>
        <w:tc>
          <w:tcPr>
            <w:tcW w:w="100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4</w:t>
            </w:r>
          </w:p>
        </w:tc>
        <w:tc>
          <w:tcPr>
            <w:tcW w:w="1003" w:type="dxa"/>
            <w:noWrap w:val="0"/>
            <w:vAlign w:val="center"/>
          </w:tcPr>
          <w:p>
            <w:pPr>
              <w:widowControl/>
              <w:spacing w:before="24" w:beforeLines="10" w:after="24" w:afterLines="10" w:line="300" w:lineRule="exact"/>
              <w:jc w:val="center"/>
              <w:rPr>
                <w:rFonts w:hint="eastAsia" w:ascii="宋体" w:hAnsi="宋体" w:cs="宋体"/>
                <w:b/>
              </w:rPr>
            </w:pPr>
            <w:r>
              <w:rPr>
                <w:rFonts w:hint="eastAsia" w:ascii="宋体" w:hAnsi="宋体" w:cs="宋体"/>
                <w:b/>
              </w:rPr>
              <w:t>5</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7" w:type="dxa"/>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rPr>
              <w:t>1</w:t>
            </w:r>
          </w:p>
        </w:tc>
        <w:tc>
          <w:tcPr>
            <w:tcW w:w="3615" w:type="dxa"/>
            <w:gridSpan w:val="2"/>
            <w:noWrap w:val="0"/>
            <w:vAlign w:val="center"/>
          </w:tcPr>
          <w:p>
            <w:pPr>
              <w:widowControl/>
              <w:spacing w:before="24" w:beforeLines="10" w:after="24" w:afterLines="10" w:line="300" w:lineRule="exact"/>
              <w:rPr>
                <w:rFonts w:hint="eastAsia" w:ascii="宋体" w:hAnsi="宋体" w:cs="宋体"/>
                <w:szCs w:val="21"/>
              </w:rPr>
            </w:pPr>
            <w:r>
              <w:rPr>
                <w:rFonts w:hint="eastAsia" w:ascii="宋体" w:hAnsi="宋体" w:cs="宋体"/>
                <w:szCs w:val="21"/>
              </w:rPr>
              <w:t>响应文件是否实质性满足磋商文件要求：</w:t>
            </w:r>
          </w:p>
          <w:p>
            <w:pPr>
              <w:widowControl/>
              <w:spacing w:before="24" w:beforeLines="10" w:after="24" w:afterLines="10" w:line="300" w:lineRule="exact"/>
              <w:rPr>
                <w:rFonts w:hint="eastAsia" w:ascii="宋体" w:hAnsi="宋体" w:cs="宋体"/>
                <w:szCs w:val="21"/>
              </w:rPr>
            </w:pPr>
            <w:r>
              <w:rPr>
                <w:rFonts w:hint="eastAsia" w:ascii="宋体" w:hAnsi="宋体" w:cs="宋体"/>
              </w:rPr>
              <w:t>实质性响应是指响应文件(包括首次响应文件、重新提交的响应文件)与磋商文件要求的所有条款、条件和规格相符，没有偏离。偏离指不满足、或不响应磋商文件的要求。</w:t>
            </w:r>
          </w:p>
        </w:tc>
        <w:tc>
          <w:tcPr>
            <w:tcW w:w="1002"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72" w:type="dxa"/>
            <w:gridSpan w:val="3"/>
            <w:noWrap w:val="0"/>
            <w:vAlign w:val="center"/>
          </w:tcPr>
          <w:p>
            <w:pPr>
              <w:widowControl/>
              <w:spacing w:before="24" w:beforeLines="10" w:after="24" w:afterLines="10" w:line="300" w:lineRule="exact"/>
              <w:jc w:val="center"/>
              <w:rPr>
                <w:rFonts w:hint="eastAsia" w:ascii="宋体" w:hAnsi="宋体" w:cs="宋体"/>
              </w:rPr>
            </w:pPr>
            <w:r>
              <w:rPr>
                <w:rFonts w:hint="eastAsia" w:ascii="宋体" w:hAnsi="宋体" w:cs="宋体"/>
              </w:rPr>
              <w:t>结论</w:t>
            </w:r>
            <w:r>
              <w:rPr>
                <w:rFonts w:hint="eastAsia" w:ascii="宋体" w:hAnsi="宋体" w:cs="宋体"/>
                <w:lang w:eastAsia="zh-CN"/>
              </w:rPr>
              <w:t>（</w:t>
            </w:r>
            <w:r>
              <w:rPr>
                <w:rFonts w:hint="eastAsia" w:ascii="宋体" w:hAnsi="宋体" w:cs="宋体"/>
                <w:lang w:val="en-US" w:eastAsia="zh-CN"/>
              </w:rPr>
              <w:t>合格/不合格）</w:t>
            </w:r>
            <w:r>
              <w:rPr>
                <w:rFonts w:hint="eastAsia" w:ascii="宋体" w:hAnsi="宋体" w:cs="宋体"/>
              </w:rPr>
              <w:tab/>
            </w:r>
          </w:p>
        </w:tc>
        <w:tc>
          <w:tcPr>
            <w:tcW w:w="1002"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c>
          <w:tcPr>
            <w:tcW w:w="1003" w:type="dxa"/>
            <w:noWrap w:val="0"/>
            <w:vAlign w:val="center"/>
          </w:tcPr>
          <w:p>
            <w:pPr>
              <w:widowControl/>
              <w:spacing w:before="24" w:beforeLines="10" w:after="24" w:afterLines="10" w:line="300" w:lineRule="exact"/>
              <w:jc w:val="center"/>
              <w:rPr>
                <w:rFonts w:hint="eastAsia" w:ascii="宋体" w:hAnsi="宋体" w:cs="宋体"/>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930" w:hRule="atLeast"/>
          <w:jc w:val="center"/>
        </w:trPr>
        <w:tc>
          <w:tcPr>
            <w:tcW w:w="677" w:type="dxa"/>
            <w:gridSpan w:val="2"/>
            <w:noWrap w:val="0"/>
            <w:textDirection w:val="tbRlV"/>
            <w:vAlign w:val="center"/>
          </w:tcPr>
          <w:p>
            <w:pPr>
              <w:widowControl/>
              <w:spacing w:before="24" w:beforeLines="10" w:after="24" w:afterLines="10" w:line="300" w:lineRule="exact"/>
              <w:ind w:left="113" w:right="113"/>
              <w:jc w:val="center"/>
              <w:rPr>
                <w:rFonts w:hint="eastAsia" w:ascii="宋体" w:hAnsi="宋体" w:cs="宋体"/>
              </w:rPr>
            </w:pPr>
            <w:r>
              <w:rPr>
                <w:rFonts w:hint="eastAsia" w:ascii="宋体" w:hAnsi="宋体" w:cs="宋体"/>
                <w:spacing w:val="20"/>
                <w:szCs w:val="21"/>
              </w:rPr>
              <w:t>备注</w:t>
            </w:r>
          </w:p>
        </w:tc>
        <w:tc>
          <w:tcPr>
            <w:tcW w:w="8409" w:type="dxa"/>
            <w:gridSpan w:val="6"/>
            <w:noWrap w:val="0"/>
            <w:vAlign w:val="center"/>
          </w:tcPr>
          <w:p>
            <w:pPr>
              <w:pStyle w:val="6"/>
              <w:spacing w:after="0" w:line="300" w:lineRule="exact"/>
              <w:ind w:left="0" w:leftChars="0"/>
              <w:rPr>
                <w:rFonts w:hint="eastAsia" w:cs="宋体"/>
                <w:szCs w:val="21"/>
              </w:rPr>
            </w:pPr>
            <w:r>
              <w:rPr>
                <w:rFonts w:hint="eastAsia" w:cs="宋体"/>
                <w:szCs w:val="21"/>
              </w:rPr>
              <w:t>1、上述内容合格用“√”表示，不合格用“×”表示；</w:t>
            </w:r>
          </w:p>
          <w:p>
            <w:pPr>
              <w:widowControl/>
              <w:spacing w:line="300" w:lineRule="exact"/>
              <w:rPr>
                <w:rFonts w:hint="eastAsia" w:ascii="宋体" w:hAnsi="宋体" w:cs="宋体"/>
              </w:rPr>
            </w:pPr>
            <w:r>
              <w:rPr>
                <w:rFonts w:hint="eastAsia" w:ascii="宋体" w:hAnsi="宋体" w:cs="宋体"/>
                <w:szCs w:val="21"/>
              </w:rPr>
              <w:t>2、以上内容有一项不合格的，则符合性评审的综合评定结果为不合格。</w:t>
            </w:r>
          </w:p>
        </w:tc>
      </w:tr>
    </w:tbl>
    <w:p>
      <w:pPr>
        <w:jc w:val="center"/>
        <w:rPr>
          <w:rFonts w:hint="eastAsia"/>
          <w:b/>
          <w:bCs/>
          <w:sz w:val="24"/>
          <w:szCs w:val="32"/>
        </w:rPr>
      </w:pPr>
      <w:bookmarkStart w:id="9" w:name="_Toc6194"/>
      <w:bookmarkStart w:id="10" w:name="_Toc16269"/>
    </w:p>
    <w:p>
      <w:pPr>
        <w:jc w:val="center"/>
        <w:rPr>
          <w:rFonts w:hint="eastAsia"/>
          <w:b/>
          <w:bCs/>
          <w:sz w:val="24"/>
          <w:szCs w:val="32"/>
        </w:rPr>
      </w:pPr>
    </w:p>
    <w:p>
      <w:pPr>
        <w:jc w:val="center"/>
        <w:rPr>
          <w:rFonts w:hint="eastAsia"/>
          <w:b/>
          <w:bCs/>
          <w:sz w:val="24"/>
          <w:szCs w:val="32"/>
        </w:rPr>
      </w:pPr>
    </w:p>
    <w:p>
      <w:pPr>
        <w:jc w:val="center"/>
        <w:rPr>
          <w:rFonts w:hint="eastAsia"/>
          <w:b/>
          <w:bCs/>
          <w:sz w:val="24"/>
          <w:szCs w:val="32"/>
        </w:rPr>
      </w:pPr>
      <w:r>
        <w:rPr>
          <w:rFonts w:hint="eastAsia"/>
          <w:b/>
          <w:bCs/>
          <w:sz w:val="24"/>
          <w:szCs w:val="32"/>
        </w:rPr>
        <w:t>表4澄清、说明、补正事项纪要表</w:t>
      </w:r>
      <w:bookmarkEnd w:id="8"/>
      <w:bookmarkEnd w:id="9"/>
      <w:bookmarkEnd w:id="10"/>
    </w:p>
    <w:tbl>
      <w:tblPr>
        <w:tblStyle w:val="1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2673"/>
        <w:gridCol w:w="1515"/>
        <w:gridCol w:w="1515"/>
        <w:gridCol w:w="1515"/>
        <w:gridCol w:w="1515"/>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468" w:type="dxa"/>
            <w:noWrap w:val="0"/>
            <w:vAlign w:val="center"/>
          </w:tcPr>
          <w:p>
            <w:pPr>
              <w:widowControl/>
              <w:spacing w:line="240" w:lineRule="atLeast"/>
              <w:rPr>
                <w:rFonts w:hint="eastAsia" w:ascii="宋体" w:hAnsi="宋体" w:cs="宋体"/>
                <w:szCs w:val="21"/>
              </w:rPr>
            </w:pPr>
            <w:r>
              <w:rPr>
                <w:rFonts w:hint="eastAsia" w:ascii="宋体" w:hAnsi="宋体" w:cs="宋体"/>
                <w:szCs w:val="21"/>
              </w:rPr>
              <w:t>序号</w:t>
            </w:r>
          </w:p>
        </w:tc>
        <w:tc>
          <w:tcPr>
            <w:tcW w:w="2673" w:type="dxa"/>
            <w:noWrap w:val="0"/>
            <w:vAlign w:val="center"/>
          </w:tcPr>
          <w:p>
            <w:pPr>
              <w:widowControl/>
              <w:spacing w:line="495" w:lineRule="atLeast"/>
              <w:jc w:val="center"/>
              <w:rPr>
                <w:rFonts w:hint="eastAsia" w:ascii="宋体" w:hAnsi="宋体" w:cs="宋体"/>
                <w:szCs w:val="21"/>
              </w:rPr>
            </w:pPr>
            <w:r>
              <w:rPr>
                <w:rFonts w:hint="eastAsia" w:ascii="宋体" w:hAnsi="宋体" w:cs="宋体"/>
                <w:szCs w:val="21"/>
              </w:rPr>
              <w:t>供应商</w:t>
            </w:r>
          </w:p>
        </w:tc>
        <w:tc>
          <w:tcPr>
            <w:tcW w:w="1515" w:type="dxa"/>
            <w:noWrap w:val="0"/>
            <w:vAlign w:val="center"/>
          </w:tcPr>
          <w:p>
            <w:pPr>
              <w:widowControl/>
              <w:spacing w:line="240" w:lineRule="atLeast"/>
              <w:rPr>
                <w:rFonts w:hint="eastAsia" w:ascii="宋体" w:hAnsi="宋体" w:cs="宋体"/>
                <w:szCs w:val="21"/>
              </w:rPr>
            </w:pPr>
            <w:r>
              <w:rPr>
                <w:rFonts w:hint="eastAsia" w:ascii="宋体" w:hAnsi="宋体" w:cs="宋体"/>
                <w:szCs w:val="21"/>
              </w:rPr>
              <w:t>响应文件中需要澄清的页次</w:t>
            </w:r>
          </w:p>
        </w:tc>
        <w:tc>
          <w:tcPr>
            <w:tcW w:w="1515" w:type="dxa"/>
            <w:noWrap w:val="0"/>
            <w:vAlign w:val="center"/>
          </w:tcPr>
          <w:p>
            <w:pPr>
              <w:widowControl/>
              <w:spacing w:line="240" w:lineRule="atLeast"/>
              <w:rPr>
                <w:rFonts w:hint="eastAsia" w:ascii="宋体" w:hAnsi="宋体" w:cs="宋体"/>
                <w:szCs w:val="21"/>
              </w:rPr>
            </w:pPr>
            <w:r>
              <w:rPr>
                <w:rFonts w:hint="eastAsia" w:ascii="宋体" w:hAnsi="宋体" w:cs="宋体"/>
                <w:szCs w:val="21"/>
              </w:rPr>
              <w:t>对响应文件中含义不明确</w:t>
            </w:r>
          </w:p>
        </w:tc>
        <w:tc>
          <w:tcPr>
            <w:tcW w:w="1515" w:type="dxa"/>
            <w:noWrap w:val="0"/>
            <w:vAlign w:val="center"/>
          </w:tcPr>
          <w:p>
            <w:pPr>
              <w:widowControl/>
              <w:spacing w:line="240" w:lineRule="atLeast"/>
              <w:rPr>
                <w:rFonts w:hint="eastAsia" w:ascii="宋体" w:hAnsi="宋体" w:cs="宋体"/>
                <w:szCs w:val="21"/>
              </w:rPr>
            </w:pPr>
            <w:r>
              <w:rPr>
                <w:rFonts w:hint="eastAsia" w:ascii="宋体" w:hAnsi="宋体" w:cs="宋体"/>
                <w:szCs w:val="21"/>
              </w:rPr>
              <w:t>对同类问题表述不一致</w:t>
            </w:r>
          </w:p>
        </w:tc>
        <w:tc>
          <w:tcPr>
            <w:tcW w:w="1515" w:type="dxa"/>
            <w:noWrap w:val="0"/>
            <w:vAlign w:val="center"/>
          </w:tcPr>
          <w:p>
            <w:pPr>
              <w:widowControl/>
              <w:spacing w:line="240" w:lineRule="atLeast"/>
              <w:rPr>
                <w:rFonts w:hint="eastAsia" w:ascii="宋体" w:hAnsi="宋体" w:cs="宋体"/>
                <w:szCs w:val="21"/>
              </w:rPr>
            </w:pPr>
            <w:r>
              <w:rPr>
                <w:rFonts w:hint="eastAsia" w:ascii="宋体" w:hAnsi="宋体" w:cs="宋体"/>
                <w:szCs w:val="21"/>
              </w:rPr>
              <w:t>明显文字和计算错误的内容</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noWrap w:val="0"/>
            <w:vAlign w:val="center"/>
          </w:tcPr>
          <w:p>
            <w:pPr>
              <w:widowControl/>
              <w:spacing w:line="320" w:lineRule="exact"/>
              <w:jc w:val="center"/>
              <w:rPr>
                <w:rFonts w:hint="eastAsia" w:ascii="宋体" w:hAnsi="宋体" w:cs="宋体"/>
                <w:szCs w:val="21"/>
              </w:rPr>
            </w:pPr>
            <w:r>
              <w:rPr>
                <w:rFonts w:hint="eastAsia" w:ascii="宋体" w:hAnsi="宋体" w:cs="宋体"/>
                <w:szCs w:val="21"/>
              </w:rPr>
              <w:t>1</w:t>
            </w:r>
          </w:p>
        </w:tc>
        <w:tc>
          <w:tcPr>
            <w:tcW w:w="2673"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8" w:type="dxa"/>
            <w:noWrap w:val="0"/>
            <w:vAlign w:val="center"/>
          </w:tcPr>
          <w:p>
            <w:pPr>
              <w:widowControl/>
              <w:spacing w:line="320" w:lineRule="exact"/>
              <w:jc w:val="center"/>
              <w:rPr>
                <w:rFonts w:hint="eastAsia" w:ascii="宋体" w:hAnsi="宋体" w:cs="宋体"/>
                <w:szCs w:val="21"/>
              </w:rPr>
            </w:pPr>
            <w:r>
              <w:rPr>
                <w:rFonts w:hint="eastAsia" w:ascii="宋体" w:hAnsi="宋体" w:cs="宋体"/>
                <w:szCs w:val="21"/>
              </w:rPr>
              <w:t>2</w:t>
            </w:r>
          </w:p>
        </w:tc>
        <w:tc>
          <w:tcPr>
            <w:tcW w:w="2673"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c>
          <w:tcPr>
            <w:tcW w:w="1515" w:type="dxa"/>
            <w:noWrap w:val="0"/>
            <w:vAlign w:val="center"/>
          </w:tcPr>
          <w:p>
            <w:pPr>
              <w:widowControl/>
              <w:spacing w:line="495" w:lineRule="atLeast"/>
              <w:rPr>
                <w:rFonts w:hint="eastAsia" w:ascii="宋体" w:hAnsi="宋体" w:cs="宋体"/>
                <w:szCs w:val="21"/>
              </w:rPr>
            </w:pPr>
          </w:p>
        </w:tc>
      </w:tr>
    </w:tbl>
    <w:p>
      <w:pPr>
        <w:jc w:val="center"/>
        <w:rPr>
          <w:rFonts w:hint="eastAsia" w:ascii="宋体" w:hAnsi="宋体" w:cs="宋体"/>
          <w:szCs w:val="21"/>
        </w:rPr>
      </w:pPr>
      <w:bookmarkStart w:id="11" w:name="_Toc23030"/>
      <w:bookmarkStart w:id="12" w:name="_Toc24893"/>
      <w:r>
        <w:rPr>
          <w:rFonts w:hint="eastAsia" w:ascii="宋体" w:hAnsi="宋体" w:cs="宋体"/>
          <w:b/>
          <w:bCs/>
          <w:szCs w:val="21"/>
        </w:rPr>
        <w:br w:type="page"/>
      </w:r>
      <w:r>
        <w:rPr>
          <w:rFonts w:hint="eastAsia"/>
          <w:b/>
          <w:bCs/>
          <w:sz w:val="28"/>
          <w:szCs w:val="36"/>
        </w:rPr>
        <w:t>表5商务、技术、价格评分表</w:t>
      </w:r>
      <w:bookmarkEnd w:id="11"/>
      <w:bookmarkEnd w:id="12"/>
    </w:p>
    <w:tbl>
      <w:tblPr>
        <w:tblStyle w:val="18"/>
        <w:tblW w:w="9167"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1163"/>
        <w:gridCol w:w="1333"/>
        <w:gridCol w:w="866"/>
        <w:gridCol w:w="5172"/>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blHeader/>
          <w:jc w:val="center"/>
        </w:trPr>
        <w:tc>
          <w:tcPr>
            <w:tcW w:w="633" w:type="dxa"/>
            <w:noWrap w:val="0"/>
            <w:vAlign w:val="center"/>
          </w:tcPr>
          <w:p>
            <w:pPr>
              <w:snapToGrid w:val="0"/>
              <w:spacing w:line="400" w:lineRule="exact"/>
              <w:ind w:left="-38"/>
              <w:jc w:val="center"/>
              <w:rPr>
                <w:rFonts w:ascii="宋体" w:hAnsi="宋体" w:cs="宋体"/>
                <w:b/>
                <w:szCs w:val="21"/>
              </w:rPr>
            </w:pPr>
            <w:r>
              <w:rPr>
                <w:rFonts w:hint="eastAsia" w:ascii="宋体" w:hAnsi="宋体" w:cs="宋体"/>
                <w:b/>
                <w:szCs w:val="21"/>
              </w:rPr>
              <w:t>序号</w:t>
            </w:r>
          </w:p>
        </w:tc>
        <w:tc>
          <w:tcPr>
            <w:tcW w:w="2496" w:type="dxa"/>
            <w:gridSpan w:val="2"/>
            <w:noWrap w:val="0"/>
            <w:vAlign w:val="center"/>
          </w:tcPr>
          <w:p>
            <w:pPr>
              <w:snapToGrid w:val="0"/>
              <w:spacing w:line="400" w:lineRule="exact"/>
              <w:ind w:left="-38"/>
              <w:jc w:val="center"/>
              <w:rPr>
                <w:rFonts w:ascii="宋体" w:hAnsi="宋体" w:cs="宋体"/>
                <w:b/>
                <w:szCs w:val="21"/>
              </w:rPr>
            </w:pPr>
            <w:r>
              <w:rPr>
                <w:rFonts w:hint="eastAsia" w:ascii="宋体" w:hAnsi="宋体" w:cs="宋体"/>
                <w:b/>
                <w:szCs w:val="21"/>
              </w:rPr>
              <w:t>评分因素及权重</w:t>
            </w:r>
          </w:p>
        </w:tc>
        <w:tc>
          <w:tcPr>
            <w:tcW w:w="866" w:type="dxa"/>
            <w:noWrap w:val="0"/>
            <w:vAlign w:val="center"/>
          </w:tcPr>
          <w:p>
            <w:pPr>
              <w:snapToGrid w:val="0"/>
              <w:spacing w:line="400" w:lineRule="exact"/>
              <w:ind w:left="-38"/>
              <w:jc w:val="center"/>
              <w:rPr>
                <w:rFonts w:ascii="宋体" w:hAnsi="宋体" w:cs="宋体"/>
                <w:b/>
                <w:szCs w:val="21"/>
              </w:rPr>
            </w:pPr>
            <w:r>
              <w:rPr>
                <w:rFonts w:hint="eastAsia" w:ascii="宋体" w:hAnsi="宋体" w:cs="宋体"/>
                <w:b/>
                <w:szCs w:val="21"/>
              </w:rPr>
              <w:t>分值</w:t>
            </w:r>
          </w:p>
        </w:tc>
        <w:tc>
          <w:tcPr>
            <w:tcW w:w="5172" w:type="dxa"/>
            <w:noWrap w:val="0"/>
            <w:vAlign w:val="center"/>
          </w:tcPr>
          <w:p>
            <w:pPr>
              <w:snapToGrid w:val="0"/>
              <w:spacing w:line="400" w:lineRule="exact"/>
              <w:ind w:left="-38"/>
              <w:jc w:val="center"/>
              <w:rPr>
                <w:rFonts w:ascii="宋体" w:hAnsi="宋体" w:cs="宋体"/>
                <w:b/>
                <w:szCs w:val="21"/>
              </w:rPr>
            </w:pPr>
            <w:r>
              <w:rPr>
                <w:rFonts w:hint="eastAsia" w:ascii="宋体" w:hAnsi="宋体" w:cs="宋体"/>
                <w:b/>
                <w:szCs w:val="21"/>
              </w:rPr>
              <w:t>评分标准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jc w:val="center"/>
        </w:trPr>
        <w:tc>
          <w:tcPr>
            <w:tcW w:w="633" w:type="dxa"/>
            <w:noWrap w:val="0"/>
            <w:vAlign w:val="center"/>
          </w:tcPr>
          <w:p>
            <w:pPr>
              <w:spacing w:line="360" w:lineRule="exact"/>
              <w:jc w:val="center"/>
              <w:rPr>
                <w:rFonts w:ascii="宋体" w:hAnsi="宋体" w:cs="宋体"/>
                <w:szCs w:val="21"/>
              </w:rPr>
            </w:pPr>
            <w:r>
              <w:rPr>
                <w:rFonts w:hint="eastAsia" w:ascii="宋体" w:hAnsi="宋体" w:cs="宋体"/>
                <w:szCs w:val="21"/>
              </w:rPr>
              <w:t>1</w:t>
            </w:r>
          </w:p>
        </w:tc>
        <w:tc>
          <w:tcPr>
            <w:tcW w:w="2496" w:type="dxa"/>
            <w:gridSpan w:val="2"/>
            <w:noWrap w:val="0"/>
            <w:vAlign w:val="center"/>
          </w:tcPr>
          <w:p>
            <w:pPr>
              <w:spacing w:line="360" w:lineRule="exact"/>
              <w:ind w:left="-38"/>
              <w:jc w:val="center"/>
              <w:rPr>
                <w:rFonts w:ascii="宋体" w:hAnsi="宋体" w:cs="宋体"/>
                <w:szCs w:val="21"/>
              </w:rPr>
            </w:pPr>
            <w:r>
              <w:rPr>
                <w:rFonts w:hint="eastAsia" w:ascii="宋体" w:hAnsi="宋体" w:cs="宋体"/>
                <w:szCs w:val="21"/>
              </w:rPr>
              <w:t>投标报价</w:t>
            </w:r>
          </w:p>
          <w:p>
            <w:pPr>
              <w:spacing w:line="360" w:lineRule="exact"/>
              <w:ind w:left="-38"/>
              <w:jc w:val="center"/>
              <w:rPr>
                <w:rFonts w:ascii="宋体" w:hAnsi="宋体" w:cs="宋体"/>
                <w:szCs w:val="21"/>
              </w:rPr>
            </w:pPr>
            <w:r>
              <w:rPr>
                <w:rFonts w:hint="eastAsia" w:ascii="宋体" w:hAnsi="宋体" w:cs="宋体"/>
                <w:szCs w:val="21"/>
              </w:rPr>
              <w:t>（20分）</w:t>
            </w:r>
          </w:p>
        </w:tc>
        <w:tc>
          <w:tcPr>
            <w:tcW w:w="866" w:type="dxa"/>
            <w:noWrap w:val="0"/>
            <w:vAlign w:val="center"/>
          </w:tcPr>
          <w:p>
            <w:pPr>
              <w:spacing w:line="360" w:lineRule="exact"/>
              <w:ind w:firstLine="28"/>
              <w:jc w:val="center"/>
              <w:rPr>
                <w:rFonts w:ascii="宋体" w:hAnsi="宋体" w:cs="宋体"/>
                <w:szCs w:val="21"/>
                <w:highlight w:val="none"/>
              </w:rPr>
            </w:pPr>
            <w:r>
              <w:rPr>
                <w:rFonts w:hint="eastAsia" w:ascii="宋体" w:hAnsi="宋体" w:cs="宋体"/>
                <w:szCs w:val="21"/>
                <w:highlight w:val="none"/>
              </w:rPr>
              <w:t>20</w:t>
            </w:r>
          </w:p>
        </w:tc>
        <w:tc>
          <w:tcPr>
            <w:tcW w:w="5172" w:type="dxa"/>
            <w:noWrap w:val="0"/>
            <w:vAlign w:val="center"/>
          </w:tcPr>
          <w:p>
            <w:pPr>
              <w:pStyle w:val="28"/>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exact"/>
              <w:ind w:firstLine="0" w:firstLineChars="0"/>
              <w:rPr>
                <w:rFonts w:ascii="宋体" w:hAnsi="宋体" w:cs="宋体"/>
                <w:spacing w:val="0"/>
                <w:sz w:val="21"/>
                <w:szCs w:val="21"/>
                <w:highlight w:val="none"/>
              </w:rPr>
            </w:pPr>
            <w:r>
              <w:rPr>
                <w:rFonts w:hint="eastAsia" w:ascii="宋体" w:hAnsi="宋体" w:cs="宋体"/>
                <w:spacing w:val="0"/>
                <w:sz w:val="21"/>
                <w:szCs w:val="21"/>
                <w:highlight w:val="none"/>
              </w:rPr>
              <w:t>满足磋商文件要求且最后报价最低的供应商的价格为磋商基准价，其价格分为满分。其他供应商的价格分统一按照下列公式计算：</w:t>
            </w:r>
          </w:p>
          <w:p>
            <w:pPr>
              <w:pStyle w:val="28"/>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exact"/>
              <w:ind w:firstLine="0" w:firstLineChars="0"/>
              <w:rPr>
                <w:rFonts w:ascii="宋体" w:hAnsi="宋体" w:cs="宋体"/>
                <w:sz w:val="21"/>
                <w:szCs w:val="21"/>
                <w:highlight w:val="none"/>
              </w:rPr>
            </w:pPr>
            <w:r>
              <w:rPr>
                <w:rFonts w:hint="eastAsia" w:ascii="宋体" w:hAnsi="宋体" w:cs="宋体"/>
                <w:spacing w:val="0"/>
                <w:sz w:val="21"/>
                <w:szCs w:val="21"/>
                <w:highlight w:val="none"/>
              </w:rPr>
              <w:t>磋商报价计分=（磋商基准价/最后磋商报价）×20</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750" w:hRule="atLeast"/>
          <w:jc w:val="center"/>
        </w:trPr>
        <w:tc>
          <w:tcPr>
            <w:tcW w:w="633" w:type="dxa"/>
            <w:vMerge w:val="restart"/>
            <w:noWrap w:val="0"/>
            <w:vAlign w:val="center"/>
          </w:tcPr>
          <w:p>
            <w:pPr>
              <w:spacing w:line="360" w:lineRule="exact"/>
              <w:jc w:val="center"/>
              <w:rPr>
                <w:rFonts w:ascii="宋体" w:hAnsi="宋体" w:cs="宋体"/>
                <w:szCs w:val="21"/>
              </w:rPr>
            </w:pPr>
            <w:r>
              <w:rPr>
                <w:rFonts w:hint="eastAsia" w:ascii="宋体" w:hAnsi="宋体" w:cs="宋体"/>
                <w:szCs w:val="21"/>
              </w:rPr>
              <w:t>2</w:t>
            </w:r>
          </w:p>
        </w:tc>
        <w:tc>
          <w:tcPr>
            <w:tcW w:w="1163" w:type="dxa"/>
            <w:vMerge w:val="restart"/>
            <w:noWrap w:val="0"/>
            <w:vAlign w:val="center"/>
          </w:tcPr>
          <w:p>
            <w:pPr>
              <w:spacing w:line="360" w:lineRule="exact"/>
              <w:jc w:val="center"/>
              <w:rPr>
                <w:rFonts w:ascii="宋体" w:hAnsi="宋体" w:cs="宋体"/>
                <w:szCs w:val="21"/>
              </w:rPr>
            </w:pPr>
            <w:r>
              <w:rPr>
                <w:rFonts w:hint="eastAsia" w:ascii="宋体" w:hAnsi="宋体" w:cs="宋体"/>
                <w:szCs w:val="21"/>
              </w:rPr>
              <w:t>技术部分（</w:t>
            </w:r>
            <w:r>
              <w:rPr>
                <w:rFonts w:hint="eastAsia" w:ascii="宋体" w:hAnsi="宋体" w:cs="宋体"/>
                <w:szCs w:val="21"/>
                <w:lang w:val="en-US" w:eastAsia="zh-CN"/>
              </w:rPr>
              <w:t>50</w:t>
            </w:r>
            <w:r>
              <w:rPr>
                <w:rFonts w:hint="eastAsia" w:ascii="宋体" w:hAnsi="宋体" w:cs="宋体"/>
                <w:szCs w:val="21"/>
              </w:rPr>
              <w:t>分）</w:t>
            </w:r>
          </w:p>
        </w:tc>
        <w:tc>
          <w:tcPr>
            <w:tcW w:w="1333" w:type="dxa"/>
            <w:noWrap w:val="0"/>
            <w:vAlign w:val="center"/>
          </w:tcPr>
          <w:p>
            <w:pPr>
              <w:spacing w:line="360" w:lineRule="auto"/>
              <w:jc w:val="left"/>
              <w:rPr>
                <w:rFonts w:hint="eastAsia" w:ascii="宋体" w:hAnsi="宋体" w:eastAsia="宋体" w:cs="宋体"/>
                <w:szCs w:val="24"/>
              </w:rPr>
            </w:pPr>
            <w:r>
              <w:rPr>
                <w:rFonts w:hint="eastAsia" w:ascii="宋体" w:hAnsi="宋体" w:eastAsia="宋体" w:cs="宋体"/>
                <w:sz w:val="21"/>
              </w:rPr>
              <w:t>对本服务项目工作的范围、任务的理解及步骤和程序</w:t>
            </w:r>
          </w:p>
        </w:tc>
        <w:tc>
          <w:tcPr>
            <w:tcW w:w="866" w:type="dxa"/>
            <w:noWrap w:val="0"/>
            <w:vAlign w:val="center"/>
          </w:tcPr>
          <w:p>
            <w:pPr>
              <w:spacing w:line="380" w:lineRule="exact"/>
              <w:jc w:val="center"/>
              <w:rPr>
                <w:rFonts w:hint="default" w:ascii="宋体" w:hAnsi="宋体" w:eastAsia="宋体" w:cs="宋体"/>
                <w:spacing w:val="-6"/>
                <w:szCs w:val="21"/>
                <w:lang w:val="en-US" w:eastAsia="zh-CN"/>
              </w:rPr>
            </w:pPr>
            <w:r>
              <w:rPr>
                <w:rFonts w:hint="eastAsia" w:ascii="宋体" w:hAnsi="宋体" w:cs="宋体"/>
                <w:spacing w:val="-6"/>
                <w:szCs w:val="21"/>
                <w:lang w:val="en-US" w:eastAsia="zh-CN"/>
              </w:rPr>
              <w:t>15</w:t>
            </w:r>
          </w:p>
        </w:tc>
        <w:tc>
          <w:tcPr>
            <w:tcW w:w="5172" w:type="dxa"/>
            <w:noWrap w:val="0"/>
            <w:vAlign w:val="center"/>
          </w:tcPr>
          <w:p>
            <w:pPr>
              <w:spacing w:line="360" w:lineRule="auto"/>
              <w:jc w:val="left"/>
              <w:rPr>
                <w:rFonts w:hint="eastAsia" w:ascii="宋体" w:hAnsi="宋体" w:eastAsia="宋体" w:cs="宋体"/>
                <w:sz w:val="21"/>
              </w:rPr>
            </w:pPr>
            <w:r>
              <w:rPr>
                <w:rFonts w:hint="eastAsia" w:ascii="宋体" w:hAnsi="宋体" w:eastAsia="宋体" w:cs="宋体"/>
                <w:sz w:val="21"/>
              </w:rPr>
              <w:t>理解准确，目标明确，内容详细，步骤、程序安排合理的计15分；</w:t>
            </w:r>
          </w:p>
          <w:p>
            <w:pPr>
              <w:spacing w:line="360" w:lineRule="auto"/>
              <w:jc w:val="left"/>
              <w:rPr>
                <w:rFonts w:hint="eastAsia" w:ascii="宋体" w:hAnsi="宋体" w:eastAsia="宋体" w:cs="宋体"/>
                <w:sz w:val="21"/>
              </w:rPr>
            </w:pPr>
            <w:r>
              <w:rPr>
                <w:rFonts w:hint="eastAsia" w:ascii="宋体" w:hAnsi="宋体" w:eastAsia="宋体" w:cs="宋体"/>
                <w:sz w:val="21"/>
              </w:rPr>
              <w:t>理解较准确，目标较明确，内容较详细，步骤、程序安排较合理的计12分；</w:t>
            </w:r>
          </w:p>
          <w:p>
            <w:pPr>
              <w:spacing w:line="360" w:lineRule="auto"/>
              <w:jc w:val="left"/>
              <w:rPr>
                <w:rFonts w:hint="eastAsia" w:ascii="宋体" w:hAnsi="宋体" w:eastAsia="宋体" w:cs="宋体"/>
                <w:sz w:val="21"/>
              </w:rPr>
            </w:pPr>
            <w:r>
              <w:rPr>
                <w:rFonts w:hint="eastAsia" w:ascii="宋体" w:hAnsi="宋体" w:eastAsia="宋体" w:cs="宋体"/>
                <w:sz w:val="21"/>
              </w:rPr>
              <w:t>理解基本准确，目标基本明确，内容基本详细，步骤、程序安排基本合理的计9分。</w:t>
            </w:r>
          </w:p>
          <w:p>
            <w:pPr>
              <w:spacing w:line="360" w:lineRule="auto"/>
              <w:jc w:val="left"/>
              <w:rPr>
                <w:rFonts w:hint="eastAsia" w:ascii="宋体" w:hAnsi="宋体" w:eastAsia="宋体" w:cs="宋体"/>
              </w:rPr>
            </w:pPr>
            <w:r>
              <w:rPr>
                <w:rFonts w:hint="eastAsia" w:ascii="宋体" w:hAnsi="宋体" w:eastAsia="宋体" w:cs="宋体"/>
                <w:sz w:val="21"/>
              </w:rPr>
              <w:t>注：未提供者本项不计分。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633" w:type="dxa"/>
            <w:vMerge w:val="continue"/>
            <w:noWrap w:val="0"/>
            <w:vAlign w:val="center"/>
          </w:tcPr>
          <w:p>
            <w:pPr>
              <w:spacing w:line="360" w:lineRule="exact"/>
              <w:jc w:val="center"/>
              <w:rPr>
                <w:rFonts w:ascii="宋体" w:hAnsi="宋体" w:cs="宋体"/>
                <w:szCs w:val="21"/>
              </w:rPr>
            </w:pPr>
          </w:p>
        </w:tc>
        <w:tc>
          <w:tcPr>
            <w:tcW w:w="1163" w:type="dxa"/>
            <w:vMerge w:val="continue"/>
            <w:noWrap w:val="0"/>
            <w:vAlign w:val="center"/>
          </w:tcPr>
          <w:p>
            <w:pPr>
              <w:spacing w:line="360" w:lineRule="exact"/>
              <w:jc w:val="center"/>
              <w:rPr>
                <w:rFonts w:ascii="宋体" w:hAnsi="宋体" w:cs="宋体"/>
                <w:szCs w:val="21"/>
              </w:rPr>
            </w:pPr>
          </w:p>
        </w:tc>
        <w:tc>
          <w:tcPr>
            <w:tcW w:w="1333" w:type="dxa"/>
            <w:noWrap w:val="0"/>
            <w:vAlign w:val="center"/>
          </w:tcPr>
          <w:p>
            <w:pPr>
              <w:spacing w:line="360" w:lineRule="auto"/>
              <w:jc w:val="left"/>
              <w:rPr>
                <w:rFonts w:hint="eastAsia" w:ascii="宋体" w:hAnsi="宋体" w:eastAsia="宋体" w:cs="宋体"/>
                <w:szCs w:val="24"/>
              </w:rPr>
            </w:pPr>
            <w:r>
              <w:rPr>
                <w:rFonts w:hint="eastAsia" w:ascii="宋体" w:hAnsi="宋体" w:eastAsia="宋体" w:cs="宋体"/>
                <w:sz w:val="21"/>
              </w:rPr>
              <w:t>本服务项目的特点及</w:t>
            </w:r>
            <w:r>
              <w:rPr>
                <w:rFonts w:hint="eastAsia" w:ascii="宋体" w:hAnsi="宋体" w:eastAsia="宋体" w:cs="宋体"/>
                <w:sz w:val="21"/>
                <w:lang w:eastAsia="zh-CN"/>
              </w:rPr>
              <w:t>制作方案</w:t>
            </w:r>
          </w:p>
        </w:tc>
        <w:tc>
          <w:tcPr>
            <w:tcW w:w="866" w:type="dxa"/>
            <w:noWrap w:val="0"/>
            <w:vAlign w:val="center"/>
          </w:tcPr>
          <w:p>
            <w:pPr>
              <w:spacing w:line="380" w:lineRule="exact"/>
              <w:jc w:val="center"/>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10</w:t>
            </w:r>
          </w:p>
        </w:tc>
        <w:tc>
          <w:tcPr>
            <w:tcW w:w="5172" w:type="dxa"/>
            <w:noWrap w:val="0"/>
            <w:vAlign w:val="center"/>
          </w:tcPr>
          <w:p>
            <w:pPr>
              <w:spacing w:line="360" w:lineRule="auto"/>
              <w:jc w:val="left"/>
              <w:rPr>
                <w:rFonts w:hint="eastAsia" w:ascii="宋体" w:hAnsi="宋体" w:eastAsia="宋体" w:cs="宋体"/>
                <w:sz w:val="21"/>
              </w:rPr>
            </w:pPr>
            <w:r>
              <w:rPr>
                <w:rFonts w:hint="eastAsia" w:ascii="宋体" w:hAnsi="宋体" w:eastAsia="宋体" w:cs="宋体"/>
                <w:sz w:val="21"/>
              </w:rPr>
              <w:t>特点分析明确，</w:t>
            </w:r>
            <w:r>
              <w:rPr>
                <w:rFonts w:hint="eastAsia" w:ascii="宋体" w:hAnsi="宋体" w:eastAsia="宋体" w:cs="宋体"/>
                <w:sz w:val="21"/>
                <w:lang w:eastAsia="zh-CN"/>
              </w:rPr>
              <w:t>策划方案有创意</w:t>
            </w:r>
            <w:r>
              <w:rPr>
                <w:rFonts w:hint="eastAsia" w:ascii="宋体" w:hAnsi="宋体" w:eastAsia="宋体" w:cs="宋体"/>
                <w:sz w:val="21"/>
              </w:rPr>
              <w:t>的计10分；</w:t>
            </w:r>
          </w:p>
          <w:p>
            <w:pPr>
              <w:spacing w:line="360" w:lineRule="auto"/>
              <w:jc w:val="left"/>
              <w:rPr>
                <w:rFonts w:hint="eastAsia" w:ascii="宋体" w:hAnsi="宋体" w:eastAsia="宋体" w:cs="宋体"/>
                <w:sz w:val="21"/>
              </w:rPr>
            </w:pPr>
            <w:r>
              <w:rPr>
                <w:rFonts w:hint="eastAsia" w:ascii="宋体" w:hAnsi="宋体" w:eastAsia="宋体" w:cs="宋体"/>
                <w:sz w:val="21"/>
              </w:rPr>
              <w:t>特点分析较明确，</w:t>
            </w:r>
            <w:r>
              <w:rPr>
                <w:rFonts w:hint="eastAsia" w:ascii="宋体" w:hAnsi="宋体" w:eastAsia="宋体" w:cs="宋体"/>
                <w:sz w:val="21"/>
                <w:lang w:eastAsia="zh-CN"/>
              </w:rPr>
              <w:t>策划方案较有创意</w:t>
            </w:r>
            <w:r>
              <w:rPr>
                <w:rFonts w:hint="eastAsia" w:ascii="宋体" w:hAnsi="宋体" w:eastAsia="宋体" w:cs="宋体"/>
                <w:sz w:val="21"/>
              </w:rPr>
              <w:t>的计7分；</w:t>
            </w:r>
          </w:p>
          <w:p>
            <w:pPr>
              <w:spacing w:line="360" w:lineRule="auto"/>
              <w:jc w:val="left"/>
              <w:rPr>
                <w:rFonts w:hint="eastAsia" w:ascii="宋体" w:hAnsi="宋体" w:eastAsia="宋体" w:cs="宋体"/>
                <w:sz w:val="21"/>
              </w:rPr>
            </w:pPr>
            <w:r>
              <w:rPr>
                <w:rFonts w:hint="eastAsia" w:ascii="宋体" w:hAnsi="宋体" w:eastAsia="宋体" w:cs="宋体"/>
                <w:sz w:val="21"/>
              </w:rPr>
              <w:t>特点分析基本明确，</w:t>
            </w:r>
            <w:r>
              <w:rPr>
                <w:rFonts w:hint="eastAsia" w:ascii="宋体" w:hAnsi="宋体" w:eastAsia="宋体" w:cs="宋体"/>
                <w:sz w:val="21"/>
                <w:lang w:eastAsia="zh-CN"/>
              </w:rPr>
              <w:t>策划方案创意一般</w:t>
            </w:r>
            <w:r>
              <w:rPr>
                <w:rFonts w:hint="eastAsia" w:ascii="宋体" w:hAnsi="宋体" w:eastAsia="宋体" w:cs="宋体"/>
                <w:sz w:val="21"/>
              </w:rPr>
              <w:t>的计4分。</w:t>
            </w:r>
          </w:p>
          <w:p>
            <w:pPr>
              <w:spacing w:line="360" w:lineRule="auto"/>
              <w:jc w:val="left"/>
              <w:rPr>
                <w:rFonts w:hint="eastAsia" w:ascii="宋体" w:hAnsi="宋体" w:eastAsia="宋体" w:cs="宋体"/>
              </w:rPr>
            </w:pPr>
            <w:r>
              <w:rPr>
                <w:rFonts w:hint="eastAsia" w:ascii="宋体" w:hAnsi="宋体" w:eastAsia="宋体" w:cs="宋体"/>
                <w:sz w:val="21"/>
              </w:rPr>
              <w:t>注：未提供者本项不计分。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39" w:hRule="atLeast"/>
          <w:jc w:val="center"/>
        </w:trPr>
        <w:tc>
          <w:tcPr>
            <w:tcW w:w="633" w:type="dxa"/>
            <w:vMerge w:val="continue"/>
            <w:noWrap w:val="0"/>
            <w:vAlign w:val="center"/>
          </w:tcPr>
          <w:p>
            <w:pPr>
              <w:spacing w:line="360" w:lineRule="exact"/>
              <w:jc w:val="center"/>
              <w:rPr>
                <w:rFonts w:ascii="宋体" w:hAnsi="宋体" w:cs="宋体"/>
                <w:szCs w:val="21"/>
              </w:rPr>
            </w:pPr>
          </w:p>
        </w:tc>
        <w:tc>
          <w:tcPr>
            <w:tcW w:w="1163" w:type="dxa"/>
            <w:vMerge w:val="continue"/>
            <w:noWrap w:val="0"/>
            <w:vAlign w:val="center"/>
          </w:tcPr>
          <w:p>
            <w:pPr>
              <w:spacing w:line="360" w:lineRule="exact"/>
              <w:jc w:val="center"/>
              <w:rPr>
                <w:rFonts w:ascii="宋体" w:hAnsi="宋体" w:cs="宋体"/>
                <w:szCs w:val="21"/>
              </w:rPr>
            </w:pPr>
          </w:p>
        </w:tc>
        <w:tc>
          <w:tcPr>
            <w:tcW w:w="1333" w:type="dxa"/>
            <w:noWrap w:val="0"/>
            <w:vAlign w:val="center"/>
          </w:tcPr>
          <w:p>
            <w:pPr>
              <w:spacing w:line="360" w:lineRule="auto"/>
              <w:rPr>
                <w:rFonts w:hint="eastAsia" w:ascii="宋体" w:hAnsi="宋体" w:eastAsia="宋体" w:cs="宋体"/>
                <w:szCs w:val="24"/>
              </w:rPr>
            </w:pPr>
            <w:r>
              <w:rPr>
                <w:rFonts w:hint="eastAsia" w:ascii="宋体" w:hAnsi="宋体" w:eastAsia="宋体" w:cs="宋体"/>
                <w:sz w:val="21"/>
              </w:rPr>
              <w:t>项目组织机构及人员安排</w:t>
            </w:r>
          </w:p>
        </w:tc>
        <w:tc>
          <w:tcPr>
            <w:tcW w:w="866" w:type="dxa"/>
            <w:noWrap w:val="0"/>
            <w:vAlign w:val="center"/>
          </w:tcPr>
          <w:p>
            <w:pPr>
              <w:spacing w:line="380" w:lineRule="exact"/>
              <w:jc w:val="center"/>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10</w:t>
            </w:r>
          </w:p>
        </w:tc>
        <w:tc>
          <w:tcPr>
            <w:tcW w:w="5172" w:type="dxa"/>
            <w:noWrap w:val="0"/>
            <w:vAlign w:val="center"/>
          </w:tcPr>
          <w:p>
            <w:pPr>
              <w:spacing w:line="360" w:lineRule="auto"/>
              <w:jc w:val="left"/>
              <w:rPr>
                <w:rFonts w:hint="eastAsia" w:ascii="宋体" w:hAnsi="宋体" w:eastAsia="宋体" w:cs="宋体"/>
                <w:sz w:val="21"/>
              </w:rPr>
            </w:pPr>
            <w:r>
              <w:rPr>
                <w:rFonts w:hint="eastAsia" w:ascii="宋体" w:hAnsi="宋体" w:eastAsia="宋体" w:cs="宋体"/>
                <w:sz w:val="21"/>
              </w:rPr>
              <w:t>明确、完善、合理的计10分；</w:t>
            </w:r>
          </w:p>
          <w:p>
            <w:pPr>
              <w:spacing w:line="360" w:lineRule="auto"/>
              <w:jc w:val="left"/>
              <w:rPr>
                <w:rFonts w:hint="eastAsia" w:ascii="宋体" w:hAnsi="宋体" w:eastAsia="宋体" w:cs="宋体"/>
                <w:sz w:val="21"/>
              </w:rPr>
            </w:pPr>
            <w:r>
              <w:rPr>
                <w:rFonts w:hint="eastAsia" w:ascii="宋体" w:hAnsi="宋体" w:eastAsia="宋体" w:cs="宋体"/>
                <w:sz w:val="21"/>
              </w:rPr>
              <w:t>较明确、较合理的计7分；</w:t>
            </w:r>
          </w:p>
          <w:p>
            <w:pPr>
              <w:spacing w:line="360" w:lineRule="auto"/>
              <w:jc w:val="left"/>
              <w:rPr>
                <w:rFonts w:hint="eastAsia" w:ascii="宋体" w:hAnsi="宋体" w:eastAsia="宋体" w:cs="宋体"/>
                <w:sz w:val="21"/>
              </w:rPr>
            </w:pPr>
            <w:r>
              <w:rPr>
                <w:rFonts w:hint="eastAsia" w:ascii="宋体" w:hAnsi="宋体" w:eastAsia="宋体" w:cs="宋体"/>
                <w:sz w:val="21"/>
              </w:rPr>
              <w:t>基本明确、基本合理的计4分。</w:t>
            </w:r>
          </w:p>
          <w:p>
            <w:pPr>
              <w:spacing w:line="360" w:lineRule="auto"/>
              <w:jc w:val="left"/>
              <w:rPr>
                <w:rFonts w:hint="eastAsia" w:ascii="宋体" w:hAnsi="宋体" w:eastAsia="宋体" w:cs="宋体"/>
              </w:rPr>
            </w:pPr>
            <w:r>
              <w:rPr>
                <w:rFonts w:hint="eastAsia" w:ascii="宋体" w:hAnsi="宋体" w:eastAsia="宋体" w:cs="宋体"/>
                <w:sz w:val="21"/>
              </w:rPr>
              <w:t>注：未提供者本项不计分。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639" w:hRule="atLeast"/>
          <w:jc w:val="center"/>
        </w:trPr>
        <w:tc>
          <w:tcPr>
            <w:tcW w:w="633" w:type="dxa"/>
            <w:vMerge w:val="continue"/>
            <w:noWrap w:val="0"/>
            <w:vAlign w:val="center"/>
          </w:tcPr>
          <w:p>
            <w:pPr>
              <w:spacing w:line="360" w:lineRule="exact"/>
              <w:jc w:val="center"/>
              <w:rPr>
                <w:rFonts w:ascii="宋体" w:hAnsi="宋体" w:cs="宋体"/>
                <w:szCs w:val="21"/>
              </w:rPr>
            </w:pPr>
          </w:p>
        </w:tc>
        <w:tc>
          <w:tcPr>
            <w:tcW w:w="1163" w:type="dxa"/>
            <w:vMerge w:val="continue"/>
            <w:noWrap w:val="0"/>
            <w:vAlign w:val="center"/>
          </w:tcPr>
          <w:p>
            <w:pPr>
              <w:spacing w:line="360" w:lineRule="exact"/>
              <w:jc w:val="center"/>
              <w:rPr>
                <w:rFonts w:ascii="宋体" w:hAnsi="宋体" w:cs="宋体"/>
                <w:szCs w:val="21"/>
              </w:rPr>
            </w:pPr>
          </w:p>
        </w:tc>
        <w:tc>
          <w:tcPr>
            <w:tcW w:w="1333" w:type="dxa"/>
            <w:noWrap w:val="0"/>
            <w:vAlign w:val="center"/>
          </w:tcPr>
          <w:p>
            <w:pPr>
              <w:spacing w:line="360" w:lineRule="auto"/>
              <w:jc w:val="left"/>
              <w:rPr>
                <w:rFonts w:hint="eastAsia" w:ascii="宋体" w:hAnsi="宋体" w:eastAsia="宋体" w:cs="宋体"/>
                <w:szCs w:val="24"/>
              </w:rPr>
            </w:pPr>
            <w:r>
              <w:rPr>
                <w:rFonts w:hint="eastAsia" w:ascii="宋体" w:hAnsi="宋体" w:eastAsia="宋体" w:cs="宋体"/>
                <w:sz w:val="21"/>
              </w:rPr>
              <w:t>工作进度计划安排与质量保证措施</w:t>
            </w:r>
          </w:p>
        </w:tc>
        <w:tc>
          <w:tcPr>
            <w:tcW w:w="866" w:type="dxa"/>
            <w:noWrap w:val="0"/>
            <w:vAlign w:val="center"/>
          </w:tcPr>
          <w:p>
            <w:pPr>
              <w:spacing w:line="380" w:lineRule="exact"/>
              <w:jc w:val="center"/>
              <w:rPr>
                <w:rFonts w:hint="default" w:ascii="宋体" w:hAnsi="宋体" w:eastAsia="宋体" w:cs="宋体"/>
                <w:spacing w:val="-6"/>
                <w:szCs w:val="21"/>
                <w:lang w:val="en-US" w:eastAsia="zh-CN"/>
              </w:rPr>
            </w:pPr>
            <w:r>
              <w:rPr>
                <w:rFonts w:hint="eastAsia" w:ascii="宋体" w:hAnsi="宋体" w:eastAsia="宋体" w:cs="宋体"/>
                <w:spacing w:val="-6"/>
                <w:szCs w:val="21"/>
                <w:lang w:val="en-US" w:eastAsia="zh-CN"/>
              </w:rPr>
              <w:t>9</w:t>
            </w:r>
          </w:p>
        </w:tc>
        <w:tc>
          <w:tcPr>
            <w:tcW w:w="5172" w:type="dxa"/>
            <w:noWrap w:val="0"/>
            <w:vAlign w:val="center"/>
          </w:tcPr>
          <w:p>
            <w:pPr>
              <w:spacing w:line="360" w:lineRule="auto"/>
              <w:jc w:val="left"/>
              <w:rPr>
                <w:rFonts w:hint="eastAsia" w:ascii="宋体" w:hAnsi="宋体" w:eastAsia="宋体" w:cs="宋体"/>
                <w:sz w:val="21"/>
              </w:rPr>
            </w:pPr>
            <w:r>
              <w:rPr>
                <w:rFonts w:hint="eastAsia" w:ascii="宋体" w:hAnsi="宋体" w:eastAsia="宋体" w:cs="宋体"/>
                <w:sz w:val="21"/>
              </w:rPr>
              <w:t>服务工作内容及计划安排、质量保证措施、进度保证措施贴切项目实际情况的计9分；</w:t>
            </w:r>
          </w:p>
          <w:p>
            <w:pPr>
              <w:spacing w:line="360" w:lineRule="auto"/>
              <w:jc w:val="left"/>
              <w:rPr>
                <w:rFonts w:hint="eastAsia" w:ascii="宋体" w:hAnsi="宋体" w:eastAsia="宋体" w:cs="宋体"/>
                <w:sz w:val="21"/>
              </w:rPr>
            </w:pPr>
            <w:r>
              <w:rPr>
                <w:rFonts w:hint="eastAsia" w:ascii="宋体" w:hAnsi="宋体" w:eastAsia="宋体" w:cs="宋体"/>
                <w:sz w:val="21"/>
              </w:rPr>
              <w:t>服务工作内容及计划安排、质量保证措施、进度保证措施比较合理的计6分；</w:t>
            </w:r>
          </w:p>
          <w:p>
            <w:pPr>
              <w:spacing w:line="360" w:lineRule="auto"/>
              <w:jc w:val="left"/>
              <w:rPr>
                <w:rFonts w:hint="eastAsia" w:ascii="宋体" w:hAnsi="宋体" w:eastAsia="宋体" w:cs="宋体"/>
                <w:sz w:val="21"/>
              </w:rPr>
            </w:pPr>
            <w:r>
              <w:rPr>
                <w:rFonts w:hint="eastAsia" w:ascii="宋体" w:hAnsi="宋体" w:eastAsia="宋体" w:cs="宋体"/>
                <w:sz w:val="21"/>
              </w:rPr>
              <w:t>服务工作内容及计划安排、质量保证措施、进度保证措施基本合理的计3分。</w:t>
            </w:r>
          </w:p>
          <w:p>
            <w:pPr>
              <w:spacing w:line="360" w:lineRule="auto"/>
              <w:jc w:val="left"/>
              <w:rPr>
                <w:rFonts w:hint="eastAsia" w:ascii="宋体" w:hAnsi="宋体" w:eastAsia="宋体" w:cs="宋体"/>
                <w:kern w:val="2"/>
                <w:sz w:val="21"/>
              </w:rPr>
            </w:pPr>
            <w:r>
              <w:rPr>
                <w:rFonts w:hint="eastAsia" w:ascii="宋体" w:hAnsi="宋体" w:eastAsia="宋体" w:cs="宋体"/>
                <w:sz w:val="21"/>
              </w:rPr>
              <w:t>注：未提供者本项不计分。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633" w:type="dxa"/>
            <w:vMerge w:val="continue"/>
            <w:noWrap w:val="0"/>
            <w:vAlign w:val="center"/>
          </w:tcPr>
          <w:p>
            <w:pPr>
              <w:spacing w:line="320" w:lineRule="exact"/>
              <w:jc w:val="center"/>
            </w:pPr>
          </w:p>
        </w:tc>
        <w:tc>
          <w:tcPr>
            <w:tcW w:w="1163" w:type="dxa"/>
            <w:vMerge w:val="continue"/>
            <w:noWrap w:val="0"/>
            <w:vAlign w:val="center"/>
          </w:tcPr>
          <w:p>
            <w:pPr>
              <w:spacing w:line="320" w:lineRule="exact"/>
              <w:jc w:val="center"/>
            </w:pPr>
          </w:p>
        </w:tc>
        <w:tc>
          <w:tcPr>
            <w:tcW w:w="1333" w:type="dxa"/>
            <w:noWrap w:val="0"/>
            <w:vAlign w:val="center"/>
          </w:tcPr>
          <w:p>
            <w:pPr>
              <w:spacing w:line="360" w:lineRule="auto"/>
              <w:jc w:val="left"/>
              <w:rPr>
                <w:rFonts w:hint="eastAsia" w:ascii="宋体" w:hAnsi="宋体" w:eastAsia="宋体" w:cs="宋体"/>
                <w:szCs w:val="24"/>
              </w:rPr>
            </w:pPr>
            <w:r>
              <w:rPr>
                <w:rFonts w:hint="eastAsia" w:ascii="宋体" w:hAnsi="宋体" w:eastAsia="宋体" w:cs="宋体"/>
                <w:sz w:val="21"/>
              </w:rPr>
              <w:t>服务措施与承诺</w:t>
            </w:r>
          </w:p>
        </w:tc>
        <w:tc>
          <w:tcPr>
            <w:tcW w:w="866" w:type="dxa"/>
            <w:noWrap w:val="0"/>
            <w:vAlign w:val="center"/>
          </w:tcPr>
          <w:p>
            <w:pPr>
              <w:spacing w:line="320" w:lineRule="exact"/>
              <w:jc w:val="center"/>
              <w:rPr>
                <w:rFonts w:hint="default" w:ascii="宋体" w:hAnsi="宋体" w:eastAsia="宋体" w:cs="宋体"/>
                <w:szCs w:val="21"/>
                <w:lang w:val="en-US" w:eastAsia="zh-CN"/>
              </w:rPr>
            </w:pPr>
            <w:r>
              <w:rPr>
                <w:rFonts w:hint="eastAsia" w:ascii="宋体" w:hAnsi="宋体" w:eastAsia="宋体" w:cs="宋体"/>
                <w:szCs w:val="21"/>
                <w:lang w:val="en-US" w:eastAsia="zh-CN"/>
              </w:rPr>
              <w:t>6</w:t>
            </w:r>
          </w:p>
        </w:tc>
        <w:tc>
          <w:tcPr>
            <w:tcW w:w="5172" w:type="dxa"/>
            <w:noWrap w:val="0"/>
            <w:vAlign w:val="center"/>
          </w:tcPr>
          <w:p>
            <w:pPr>
              <w:spacing w:line="360" w:lineRule="auto"/>
              <w:jc w:val="left"/>
              <w:rPr>
                <w:rFonts w:hint="eastAsia" w:ascii="宋体" w:hAnsi="宋体" w:eastAsia="宋体" w:cs="宋体"/>
                <w:sz w:val="21"/>
              </w:rPr>
            </w:pPr>
            <w:r>
              <w:rPr>
                <w:rFonts w:hint="eastAsia" w:ascii="宋体" w:hAnsi="宋体" w:eastAsia="宋体" w:cs="宋体"/>
                <w:sz w:val="21"/>
              </w:rPr>
              <w:t>充分适合本项目，完善、可靠的计6分；</w:t>
            </w:r>
          </w:p>
          <w:p>
            <w:pPr>
              <w:spacing w:line="360" w:lineRule="auto"/>
              <w:jc w:val="left"/>
              <w:rPr>
                <w:rFonts w:hint="eastAsia" w:ascii="宋体" w:hAnsi="宋体" w:eastAsia="宋体" w:cs="宋体"/>
                <w:sz w:val="21"/>
              </w:rPr>
            </w:pPr>
            <w:r>
              <w:rPr>
                <w:rFonts w:hint="eastAsia" w:ascii="宋体" w:hAnsi="宋体" w:eastAsia="宋体" w:cs="宋体"/>
                <w:sz w:val="21"/>
              </w:rPr>
              <w:t>较适合本项目，较完善、较可靠的计3分；</w:t>
            </w:r>
          </w:p>
          <w:p>
            <w:pPr>
              <w:spacing w:line="360" w:lineRule="auto"/>
              <w:jc w:val="left"/>
              <w:rPr>
                <w:rFonts w:hint="eastAsia" w:ascii="宋体" w:hAnsi="宋体" w:eastAsia="宋体" w:cs="宋体"/>
                <w:sz w:val="21"/>
              </w:rPr>
            </w:pPr>
            <w:r>
              <w:rPr>
                <w:rFonts w:hint="eastAsia" w:ascii="宋体" w:hAnsi="宋体" w:eastAsia="宋体" w:cs="宋体"/>
                <w:sz w:val="21"/>
              </w:rPr>
              <w:t>基本适合本项目，基本完善、基本可靠的计1分。</w:t>
            </w:r>
          </w:p>
          <w:p>
            <w:pPr>
              <w:spacing w:line="360" w:lineRule="auto"/>
              <w:jc w:val="left"/>
              <w:rPr>
                <w:rFonts w:hint="eastAsia" w:ascii="宋体" w:hAnsi="宋体" w:eastAsia="宋体" w:cs="宋体"/>
                <w:szCs w:val="24"/>
              </w:rPr>
            </w:pPr>
            <w:r>
              <w:rPr>
                <w:rFonts w:hint="eastAsia" w:ascii="宋体" w:hAnsi="宋体" w:eastAsia="宋体" w:cs="宋体"/>
                <w:sz w:val="21"/>
              </w:rPr>
              <w:t>注：未提供者本项不计分。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633" w:type="dxa"/>
            <w:vMerge w:val="restart"/>
            <w:noWrap w:val="0"/>
            <w:vAlign w:val="center"/>
          </w:tcPr>
          <w:p>
            <w:pPr>
              <w:spacing w:line="360" w:lineRule="exact"/>
              <w:ind w:firstLine="28"/>
              <w:jc w:val="center"/>
              <w:rPr>
                <w:rFonts w:ascii="宋体" w:hAnsi="宋体" w:cs="宋体"/>
                <w:szCs w:val="21"/>
              </w:rPr>
            </w:pPr>
            <w:r>
              <w:rPr>
                <w:rFonts w:hint="eastAsia" w:ascii="宋体" w:hAnsi="宋体" w:cs="宋体"/>
                <w:szCs w:val="21"/>
              </w:rPr>
              <w:t>3</w:t>
            </w:r>
          </w:p>
        </w:tc>
        <w:tc>
          <w:tcPr>
            <w:tcW w:w="1163" w:type="dxa"/>
            <w:vMerge w:val="restart"/>
            <w:noWrap w:val="0"/>
            <w:vAlign w:val="center"/>
          </w:tcPr>
          <w:p>
            <w:pPr>
              <w:jc w:val="center"/>
              <w:rPr>
                <w:rFonts w:ascii="宋体" w:hAnsi="宋体" w:cs="宋体"/>
                <w:szCs w:val="21"/>
              </w:rPr>
            </w:pPr>
            <w:r>
              <w:rPr>
                <w:rFonts w:hint="eastAsia" w:ascii="宋体" w:hAnsi="宋体" w:cs="宋体"/>
                <w:szCs w:val="21"/>
              </w:rPr>
              <w:t>商务部分（</w:t>
            </w:r>
            <w:r>
              <w:rPr>
                <w:rFonts w:hint="eastAsia" w:ascii="宋体" w:hAnsi="宋体" w:cs="宋体"/>
                <w:szCs w:val="21"/>
                <w:lang w:val="en-US" w:eastAsia="zh-CN"/>
              </w:rPr>
              <w:t>30</w:t>
            </w:r>
            <w:r>
              <w:rPr>
                <w:rFonts w:hint="eastAsia" w:ascii="宋体" w:hAnsi="宋体" w:cs="宋体"/>
                <w:szCs w:val="21"/>
              </w:rPr>
              <w:t>分）</w:t>
            </w:r>
          </w:p>
        </w:tc>
        <w:tc>
          <w:tcPr>
            <w:tcW w:w="1333" w:type="dxa"/>
            <w:noWrap w:val="0"/>
            <w:vAlign w:val="center"/>
          </w:tcPr>
          <w:p>
            <w:pPr>
              <w:jc w:val="center"/>
              <w:rPr>
                <w:rFonts w:ascii="宋体" w:hAnsi="宋体" w:cs="宋体"/>
                <w:szCs w:val="21"/>
              </w:rPr>
            </w:pPr>
            <w:r>
              <w:rPr>
                <w:rFonts w:hint="eastAsia" w:ascii="宋体" w:hAnsi="宋体" w:cs="宋体"/>
                <w:szCs w:val="21"/>
              </w:rPr>
              <w:t>类似业绩</w:t>
            </w:r>
          </w:p>
        </w:tc>
        <w:tc>
          <w:tcPr>
            <w:tcW w:w="866" w:type="dxa"/>
            <w:noWrap w:val="0"/>
            <w:vAlign w:val="center"/>
          </w:tcPr>
          <w:p>
            <w:pPr>
              <w:spacing w:line="300" w:lineRule="exact"/>
              <w:jc w:val="center"/>
              <w:rPr>
                <w:rFonts w:hint="default" w:ascii="宋体" w:hAnsi="宋体" w:eastAsia="宋体" w:cs="宋体"/>
                <w:szCs w:val="21"/>
                <w:lang w:val="en-US" w:eastAsia="zh-CN"/>
              </w:rPr>
            </w:pPr>
            <w:r>
              <w:rPr>
                <w:rFonts w:hint="eastAsia" w:ascii="宋体" w:hAnsi="宋体" w:cs="宋体"/>
                <w:lang w:val="en-US" w:eastAsia="zh-CN"/>
              </w:rPr>
              <w:t>20</w:t>
            </w:r>
          </w:p>
        </w:tc>
        <w:tc>
          <w:tcPr>
            <w:tcW w:w="5172" w:type="dxa"/>
            <w:noWrap w:val="0"/>
            <w:vAlign w:val="center"/>
          </w:tcPr>
          <w:p>
            <w:pPr>
              <w:spacing w:line="24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eastAsia="zh-CN"/>
              </w:rPr>
              <w:t>供应商</w:t>
            </w:r>
            <w:r>
              <w:rPr>
                <w:rFonts w:hint="eastAsia" w:ascii="宋体" w:hAnsi="宋体" w:eastAsia="宋体" w:cs="宋体"/>
                <w:sz w:val="21"/>
                <w:szCs w:val="21"/>
              </w:rPr>
              <w:t>近</w:t>
            </w:r>
            <w:r>
              <w:rPr>
                <w:rFonts w:hint="eastAsia" w:ascii="宋体" w:hAnsi="宋体" w:eastAsia="宋体" w:cs="宋体"/>
                <w:sz w:val="21"/>
                <w:szCs w:val="21"/>
                <w:lang w:val="en-US" w:eastAsia="zh-CN"/>
              </w:rPr>
              <w:t>2</w:t>
            </w:r>
            <w:r>
              <w:rPr>
                <w:rFonts w:hint="eastAsia" w:ascii="宋体" w:hAnsi="宋体" w:eastAsia="宋体" w:cs="宋体"/>
                <w:sz w:val="21"/>
                <w:szCs w:val="21"/>
              </w:rPr>
              <w:t>年</w:t>
            </w:r>
            <w:r>
              <w:rPr>
                <w:rFonts w:hint="eastAsia" w:ascii="宋体" w:hAnsi="宋体" w:eastAsia="宋体" w:cs="宋体"/>
                <w:sz w:val="21"/>
                <w:szCs w:val="21"/>
                <w:lang w:eastAsia="zh-CN"/>
              </w:rPr>
              <w:t>内（指</w:t>
            </w:r>
            <w:r>
              <w:rPr>
                <w:rFonts w:hint="eastAsia" w:ascii="宋体" w:hAnsi="宋体" w:eastAsia="宋体" w:cs="宋体"/>
                <w:sz w:val="21"/>
                <w:szCs w:val="21"/>
                <w:lang w:val="en-US" w:eastAsia="zh-CN"/>
              </w:rPr>
              <w:t>2020年5月-2022年5月</w:t>
            </w:r>
            <w:r>
              <w:rPr>
                <w:rFonts w:hint="eastAsia" w:ascii="宋体" w:hAnsi="宋体" w:eastAsia="宋体" w:cs="宋体"/>
                <w:sz w:val="21"/>
                <w:szCs w:val="21"/>
                <w:lang w:eastAsia="zh-CN"/>
              </w:rPr>
              <w:t>）</w:t>
            </w:r>
            <w:r>
              <w:rPr>
                <w:rFonts w:hint="eastAsia" w:ascii="宋体" w:hAnsi="宋体" w:eastAsia="宋体" w:cs="宋体"/>
                <w:sz w:val="21"/>
                <w:szCs w:val="21"/>
              </w:rPr>
              <w:t>具备</w:t>
            </w:r>
            <w:r>
              <w:rPr>
                <w:rFonts w:hint="eastAsia" w:ascii="宋体" w:hAnsi="宋体" w:eastAsia="宋体" w:cs="宋体"/>
                <w:sz w:val="21"/>
                <w:szCs w:val="21"/>
                <w:lang w:val="en-US" w:eastAsia="zh-CN"/>
              </w:rPr>
              <w:t>房地产企业住宅电子沙盘</w:t>
            </w:r>
            <w:r>
              <w:rPr>
                <w:rFonts w:hint="eastAsia" w:ascii="宋体" w:hAnsi="宋体" w:eastAsia="宋体" w:cs="宋体"/>
                <w:sz w:val="21"/>
                <w:szCs w:val="21"/>
              </w:rPr>
              <w:t>制作类似项目</w:t>
            </w:r>
            <w:r>
              <w:rPr>
                <w:rFonts w:hint="eastAsia" w:ascii="宋体" w:hAnsi="宋体" w:eastAsia="宋体" w:cs="宋体"/>
                <w:sz w:val="21"/>
                <w:szCs w:val="21"/>
                <w:lang w:eastAsia="zh-CN"/>
              </w:rPr>
              <w:t>业绩</w:t>
            </w:r>
            <w:r>
              <w:rPr>
                <w:rFonts w:hint="eastAsia" w:ascii="宋体" w:hAnsi="宋体" w:eastAsia="宋体" w:cs="宋体"/>
                <w:sz w:val="21"/>
                <w:szCs w:val="21"/>
              </w:rPr>
              <w:t>，每提供1个计</w:t>
            </w:r>
            <w:r>
              <w:rPr>
                <w:rFonts w:hint="eastAsia" w:ascii="宋体" w:hAnsi="宋体" w:eastAsia="宋体" w:cs="宋体"/>
                <w:sz w:val="21"/>
                <w:szCs w:val="21"/>
                <w:lang w:val="en-US" w:eastAsia="zh-CN"/>
              </w:rPr>
              <w:t>5</w:t>
            </w:r>
            <w:r>
              <w:rPr>
                <w:rFonts w:hint="eastAsia" w:ascii="宋体" w:hAnsi="宋体" w:eastAsia="宋体" w:cs="宋体"/>
                <w:sz w:val="21"/>
                <w:szCs w:val="21"/>
              </w:rPr>
              <w:t>分，</w:t>
            </w:r>
            <w:r>
              <w:rPr>
                <w:rFonts w:hint="eastAsia" w:ascii="宋体" w:hAnsi="宋体" w:eastAsia="宋体" w:cs="宋体"/>
                <w:sz w:val="21"/>
                <w:szCs w:val="21"/>
                <w:lang w:eastAsia="zh-CN"/>
              </w:rPr>
              <w:t>本项最多计</w:t>
            </w:r>
            <w:r>
              <w:rPr>
                <w:rFonts w:hint="eastAsia" w:ascii="宋体" w:hAnsi="宋体" w:eastAsia="宋体" w:cs="宋体"/>
                <w:sz w:val="21"/>
                <w:szCs w:val="21"/>
                <w:lang w:val="en-US" w:eastAsia="zh-CN"/>
              </w:rPr>
              <w:t>20分</w:t>
            </w:r>
            <w:r>
              <w:rPr>
                <w:rFonts w:hint="eastAsia" w:ascii="宋体" w:hAnsi="宋体" w:eastAsia="宋体" w:cs="宋体"/>
                <w:sz w:val="21"/>
                <w:szCs w:val="21"/>
              </w:rPr>
              <w:t>。</w:t>
            </w:r>
          </w:p>
          <w:p>
            <w:pPr>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注：</w:t>
            </w:r>
            <w:r>
              <w:rPr>
                <w:rFonts w:hint="eastAsia" w:ascii="宋体" w:hAnsi="宋体" w:eastAsia="宋体" w:cs="宋体"/>
                <w:sz w:val="21"/>
                <w:szCs w:val="21"/>
              </w:rPr>
              <w:t>提供</w:t>
            </w:r>
            <w:r>
              <w:rPr>
                <w:rFonts w:hint="eastAsia" w:ascii="宋体" w:hAnsi="宋体" w:eastAsia="宋体" w:cs="宋体"/>
                <w:sz w:val="21"/>
                <w:szCs w:val="21"/>
                <w:lang w:eastAsia="zh-CN"/>
              </w:rPr>
              <w:t>类似</w:t>
            </w:r>
            <w:r>
              <w:rPr>
                <w:rFonts w:hint="eastAsia" w:ascii="宋体" w:hAnsi="宋体" w:eastAsia="宋体" w:cs="宋体"/>
                <w:sz w:val="21"/>
                <w:szCs w:val="21"/>
              </w:rPr>
              <w:t>业绩合同</w:t>
            </w:r>
            <w:r>
              <w:rPr>
                <w:rFonts w:hint="eastAsia" w:ascii="宋体" w:hAnsi="宋体" w:eastAsia="宋体" w:cs="宋体"/>
                <w:sz w:val="21"/>
                <w:szCs w:val="21"/>
                <w:lang w:val="en-US" w:eastAsia="zh-CN"/>
              </w:rPr>
              <w:t>首尾页、带价格页及盖章页</w:t>
            </w:r>
            <w:r>
              <w:rPr>
                <w:rFonts w:hint="eastAsia" w:ascii="宋体" w:hAnsi="宋体" w:eastAsia="宋体" w:cs="宋体"/>
                <w:sz w:val="21"/>
                <w:szCs w:val="21"/>
              </w:rPr>
              <w:t>复印件并加盖单位公章，</w:t>
            </w:r>
            <w:r>
              <w:rPr>
                <w:rFonts w:hint="eastAsia" w:ascii="宋体" w:hAnsi="宋体" w:eastAsia="宋体" w:cs="宋体"/>
                <w:sz w:val="21"/>
                <w:szCs w:val="21"/>
                <w:lang w:eastAsia="zh-CN"/>
              </w:rPr>
              <w:t>时间</w:t>
            </w:r>
            <w:r>
              <w:rPr>
                <w:rFonts w:hint="eastAsia" w:ascii="宋体" w:hAnsi="宋体" w:eastAsia="宋体" w:cs="宋体"/>
                <w:sz w:val="21"/>
                <w:szCs w:val="21"/>
                <w:lang w:val="en-US" w:eastAsia="zh-CN"/>
              </w:rPr>
              <w:t>以合同签订日期为准，</w:t>
            </w:r>
            <w:r>
              <w:rPr>
                <w:rFonts w:hint="eastAsia" w:ascii="宋体" w:hAnsi="宋体" w:eastAsia="宋体" w:cs="宋体"/>
                <w:sz w:val="21"/>
                <w:szCs w:val="21"/>
              </w:rPr>
              <w:t>否则不计分。</w:t>
            </w:r>
          </w:p>
          <w:p>
            <w:pPr>
              <w:spacing w:line="240" w:lineRule="auto"/>
              <w:jc w:val="left"/>
              <w:rPr>
                <w:rFonts w:hint="eastAsia" w:ascii="宋体" w:hAnsi="宋体" w:eastAsia="宋体" w:cs="宋体"/>
                <w:szCs w:val="21"/>
              </w:rPr>
            </w:pPr>
            <w:r>
              <w:rPr>
                <w:rFonts w:hint="eastAsia" w:ascii="宋体" w:hAnsi="宋体" w:eastAsia="宋体" w:cs="宋体"/>
                <w:sz w:val="21"/>
                <w:szCs w:val="21"/>
                <w:lang w:val="en-US" w:eastAsia="zh-CN"/>
              </w:rPr>
              <w:t>如合同/订单无法证明业绩满足采购文件要求，还需提供委托人出具的证明材料。</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633" w:type="dxa"/>
            <w:vMerge w:val="continue"/>
            <w:noWrap w:val="0"/>
            <w:vAlign w:val="center"/>
          </w:tcPr>
          <w:p>
            <w:pPr>
              <w:spacing w:line="360" w:lineRule="exact"/>
              <w:ind w:firstLine="28"/>
              <w:jc w:val="center"/>
              <w:rPr>
                <w:rFonts w:hint="eastAsia" w:ascii="宋体" w:hAnsi="宋体" w:cs="宋体"/>
                <w:szCs w:val="21"/>
              </w:rPr>
            </w:pPr>
          </w:p>
        </w:tc>
        <w:tc>
          <w:tcPr>
            <w:tcW w:w="1163" w:type="dxa"/>
            <w:vMerge w:val="continue"/>
            <w:noWrap w:val="0"/>
            <w:vAlign w:val="center"/>
          </w:tcPr>
          <w:p>
            <w:pPr>
              <w:jc w:val="center"/>
              <w:rPr>
                <w:rFonts w:hint="eastAsia" w:ascii="宋体" w:hAnsi="宋体" w:cs="宋体"/>
                <w:szCs w:val="21"/>
              </w:rPr>
            </w:pPr>
          </w:p>
        </w:tc>
        <w:tc>
          <w:tcPr>
            <w:tcW w:w="1333" w:type="dxa"/>
            <w:noWrap w:val="0"/>
            <w:vAlign w:val="center"/>
          </w:tcPr>
          <w:p>
            <w:pPr>
              <w:jc w:val="center"/>
              <w:rPr>
                <w:rFonts w:hint="eastAsia" w:ascii="宋体" w:hAnsi="宋体"/>
                <w:color w:val="auto"/>
                <w:szCs w:val="21"/>
                <w:highlight w:val="none"/>
              </w:rPr>
            </w:pPr>
            <w:r>
              <w:rPr>
                <w:rFonts w:hint="eastAsia" w:ascii="宋体" w:hAnsi="宋体"/>
                <w:color w:val="auto"/>
                <w:szCs w:val="21"/>
                <w:highlight w:val="none"/>
                <w:lang w:val="en-US" w:eastAsia="zh-CN"/>
              </w:rPr>
              <w:t>项目负责人实力</w:t>
            </w:r>
          </w:p>
        </w:tc>
        <w:tc>
          <w:tcPr>
            <w:tcW w:w="866" w:type="dxa"/>
            <w:noWrap w:val="0"/>
            <w:vAlign w:val="center"/>
          </w:tcPr>
          <w:p>
            <w:pPr>
              <w:spacing w:line="300" w:lineRule="exact"/>
              <w:jc w:val="center"/>
              <w:rPr>
                <w:rFonts w:hint="default" w:ascii="宋体" w:hAnsi="宋体" w:cs="宋体"/>
                <w:lang w:val="en-US" w:eastAsia="zh-CN"/>
              </w:rPr>
            </w:pPr>
            <w:r>
              <w:rPr>
                <w:rFonts w:hint="eastAsia" w:ascii="宋体" w:hAnsi="宋体" w:cs="宋体"/>
                <w:lang w:val="en-US" w:eastAsia="zh-CN"/>
              </w:rPr>
              <w:t>10</w:t>
            </w:r>
          </w:p>
        </w:tc>
        <w:tc>
          <w:tcPr>
            <w:tcW w:w="5172" w:type="dxa"/>
            <w:noWrap w:val="0"/>
            <w:vAlign w:val="center"/>
          </w:tcPr>
          <w:p>
            <w:pPr>
              <w:spacing w:line="24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供应商提供拟任项目负责人承担过电子沙盘</w:t>
            </w:r>
            <w:r>
              <w:rPr>
                <w:rFonts w:hint="eastAsia" w:ascii="宋体" w:hAnsi="宋体" w:eastAsia="宋体" w:cs="宋体"/>
                <w:sz w:val="21"/>
                <w:szCs w:val="21"/>
              </w:rPr>
              <w:t>制作</w:t>
            </w:r>
            <w:r>
              <w:rPr>
                <w:rFonts w:hint="eastAsia" w:ascii="宋体" w:hAnsi="宋体" w:eastAsia="宋体" w:cs="宋体"/>
                <w:sz w:val="21"/>
                <w:szCs w:val="21"/>
                <w:lang w:val="en-US" w:eastAsia="zh-CN"/>
              </w:rPr>
              <w:t>负责人的类似项目业绩，每提供1个计2分，本项最多计10分。</w:t>
            </w:r>
          </w:p>
          <w:p>
            <w:pPr>
              <w:spacing w:line="240" w:lineRule="auto"/>
              <w:jc w:val="left"/>
              <w:rPr>
                <w:rFonts w:hint="eastAsia" w:ascii="宋体" w:hAnsi="宋体" w:eastAsia="宋体" w:cs="宋体"/>
                <w:szCs w:val="21"/>
                <w:highlight w:val="none"/>
              </w:rPr>
            </w:pPr>
            <w:r>
              <w:rPr>
                <w:rFonts w:hint="eastAsia" w:ascii="宋体" w:hAnsi="宋体" w:eastAsia="宋体" w:cs="宋体"/>
                <w:sz w:val="21"/>
                <w:szCs w:val="21"/>
                <w:lang w:val="en-US" w:eastAsia="zh-CN"/>
              </w:rPr>
              <w:t>注：提供类似业绩的合同复印件（合同中须体现项目负责人姓名）并加盖单位公章，否则不计分。</w:t>
            </w:r>
          </w:p>
        </w:tc>
      </w:tr>
    </w:tbl>
    <w:p>
      <w:pPr>
        <w:tabs>
          <w:tab w:val="left" w:pos="653"/>
        </w:tabs>
        <w:adjustRightInd w:val="0"/>
        <w:snapToGrid w:val="0"/>
        <w:spacing w:before="120" w:beforeLines="50" w:after="120" w:afterLines="50" w:line="320" w:lineRule="exact"/>
        <w:ind w:left="426" w:right="-109" w:rightChars="-52"/>
        <w:rPr>
          <w:rFonts w:hint="eastAsia" w:ascii="宋体" w:hAnsi="宋体" w:cs="宋体"/>
          <w:szCs w:val="21"/>
        </w:rPr>
      </w:pPr>
      <w:r>
        <w:rPr>
          <w:rFonts w:hint="eastAsia" w:ascii="宋体" w:hAnsi="宋体" w:cs="宋体"/>
          <w:szCs w:val="21"/>
        </w:rPr>
        <w:t>评分准则</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评分按以下计算汇总供应商最后得分。其计算公式如下：</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评审总得分＝F1+F2……+Fn</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F1、F2……Fn分别为各项评分因素的汇总得分；</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F1：商务评分</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F2：各评委技术评分的算术平均值：F2=(F2-1+F2-2+….F2-N)/N</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F2-N：每个评委的技术评分，N为评委人数。</w:t>
      </w:r>
    </w:p>
    <w:p>
      <w:pPr>
        <w:tabs>
          <w:tab w:val="left" w:pos="653"/>
        </w:tabs>
        <w:adjustRightInd w:val="0"/>
        <w:snapToGrid w:val="0"/>
        <w:spacing w:before="120" w:beforeLines="50" w:after="120" w:afterLines="50" w:line="320" w:lineRule="exact"/>
        <w:ind w:right="-109" w:rightChars="-52" w:firstLine="420" w:firstLineChars="200"/>
        <w:rPr>
          <w:rFonts w:hint="eastAsia" w:ascii="宋体" w:hAnsi="宋体" w:cs="宋体"/>
          <w:szCs w:val="21"/>
        </w:rPr>
      </w:pPr>
      <w:r>
        <w:rPr>
          <w:rFonts w:hint="eastAsia" w:ascii="宋体" w:hAnsi="宋体" w:cs="宋体"/>
          <w:szCs w:val="21"/>
        </w:rPr>
        <w:t>（2）记分、计算规则</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每次评分计算保留2位小数（百分比亦取2位小数），第三位小数四舍五入。</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有下列情况之一者单项评分为无效分，评委须作出解释，并重新打分：</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① 评分高出规定最高分或低于规定最低分的；</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② 一个记分内容有2个或2个以上记分的；</w:t>
      </w:r>
    </w:p>
    <w:p>
      <w:pPr>
        <w:adjustRightInd w:val="0"/>
        <w:snapToGrid w:val="0"/>
        <w:spacing w:before="120" w:beforeLines="50" w:after="120" w:afterLines="50" w:line="320" w:lineRule="exact"/>
        <w:ind w:left="630" w:leftChars="300" w:right="-109" w:rightChars="-52"/>
        <w:rPr>
          <w:rFonts w:hint="eastAsia" w:ascii="宋体" w:hAnsi="宋体" w:cs="宋体"/>
          <w:szCs w:val="21"/>
        </w:rPr>
      </w:pPr>
      <w:r>
        <w:rPr>
          <w:rFonts w:hint="eastAsia" w:ascii="宋体" w:hAnsi="宋体" w:cs="宋体"/>
          <w:szCs w:val="21"/>
        </w:rPr>
        <w:t>③ 无记分；</w:t>
      </w:r>
    </w:p>
    <w:p>
      <w:pPr>
        <w:pStyle w:val="9"/>
        <w:spacing w:before="120" w:beforeLines="50" w:after="120" w:afterLines="50" w:line="320" w:lineRule="exact"/>
        <w:ind w:firstLine="630" w:firstLineChars="300"/>
        <w:rPr>
          <w:rFonts w:hint="eastAsia" w:hAnsi="宋体" w:cs="宋体"/>
        </w:rPr>
      </w:pPr>
      <w:r>
        <w:rPr>
          <w:rFonts w:hint="eastAsia" w:hAnsi="宋体" w:cs="宋体"/>
        </w:rPr>
        <w:t>④ 其它明显不合理记分。</w:t>
      </w:r>
    </w:p>
    <w:p>
      <w:pPr>
        <w:rPr>
          <w:rFonts w:hint="default"/>
          <w:lang w:val="en-US" w:eastAsia="zh-CN"/>
        </w:rPr>
      </w:pPr>
      <w:r>
        <w:rPr>
          <w:rFonts w:hint="default"/>
          <w:lang w:val="en-US" w:eastAsia="zh-CN"/>
        </w:rPr>
        <w:br w:type="page"/>
      </w:r>
    </w:p>
    <w:p>
      <w:pPr>
        <w:adjustRightInd w:val="0"/>
        <w:snapToGrid w:val="0"/>
        <w:spacing w:before="120" w:beforeLines="50" w:line="400" w:lineRule="exact"/>
        <w:jc w:val="center"/>
        <w:outlineLvl w:val="1"/>
        <w:rPr>
          <w:rFonts w:hint="eastAsia" w:ascii="宋体" w:hAnsi="宋体" w:cs="宋体"/>
          <w:b/>
          <w:sz w:val="32"/>
          <w:szCs w:val="32"/>
        </w:rPr>
      </w:pPr>
      <w:bookmarkStart w:id="13" w:name="_Toc489882262"/>
      <w:bookmarkStart w:id="14" w:name="_Toc20109"/>
      <w:bookmarkStart w:id="15" w:name="_Toc5741"/>
      <w:r>
        <w:rPr>
          <w:rFonts w:hint="eastAsia" w:ascii="宋体" w:hAnsi="宋体" w:cs="宋体"/>
          <w:b/>
          <w:sz w:val="32"/>
          <w:szCs w:val="32"/>
        </w:rPr>
        <w:t>磋商须知正文</w:t>
      </w:r>
      <w:bookmarkEnd w:id="13"/>
      <w:bookmarkEnd w:id="14"/>
      <w:bookmarkEnd w:id="15"/>
    </w:p>
    <w:p>
      <w:pPr>
        <w:adjustRightInd w:val="0"/>
        <w:snapToGrid w:val="0"/>
        <w:spacing w:before="240" w:beforeLines="100" w:after="120" w:afterLines="50" w:line="360" w:lineRule="exact"/>
        <w:jc w:val="center"/>
        <w:outlineLvl w:val="2"/>
        <w:rPr>
          <w:rFonts w:hint="eastAsia" w:ascii="宋体" w:hAnsi="宋体" w:cs="宋体"/>
          <w:sz w:val="28"/>
          <w:szCs w:val="28"/>
        </w:rPr>
      </w:pPr>
      <w:bookmarkStart w:id="16" w:name="_Toc3545"/>
      <w:bookmarkStart w:id="17" w:name="_Toc29315"/>
      <w:r>
        <w:rPr>
          <w:rFonts w:hint="eastAsia" w:ascii="宋体" w:hAnsi="宋体" w:cs="宋体"/>
          <w:sz w:val="28"/>
          <w:szCs w:val="28"/>
        </w:rPr>
        <w:t>一、说明</w:t>
      </w:r>
      <w:bookmarkEnd w:id="16"/>
      <w:bookmarkEnd w:id="17"/>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1.适用范围</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1.1 本磋商文件仅适用于磋商须知前附表(以下简称</w:t>
      </w:r>
      <w:r>
        <w:rPr>
          <w:rFonts w:hint="eastAsia" w:ascii="宋体" w:hAnsi="宋体" w:cs="宋体"/>
          <w:b/>
          <w:szCs w:val="21"/>
        </w:rPr>
        <w:t>磋商须知前附表)</w:t>
      </w:r>
      <w:r>
        <w:rPr>
          <w:rFonts w:hint="eastAsia" w:ascii="宋体" w:hAnsi="宋体" w:cs="宋体"/>
          <w:szCs w:val="21"/>
        </w:rPr>
        <w:t>中所叙述的采购项目。</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2.定义</w:t>
      </w:r>
    </w:p>
    <w:p>
      <w:pPr>
        <w:adjustRightInd w:val="0"/>
        <w:snapToGrid w:val="0"/>
        <w:spacing w:before="120" w:beforeLines="50" w:after="120" w:afterLines="50" w:line="360" w:lineRule="auto"/>
        <w:ind w:firstLine="420" w:firstLineChars="200"/>
        <w:rPr>
          <w:rFonts w:hint="eastAsia" w:ascii="宋体" w:hAnsi="宋体" w:cs="宋体"/>
          <w:b/>
          <w:szCs w:val="21"/>
        </w:rPr>
      </w:pPr>
      <w:r>
        <w:rPr>
          <w:rFonts w:hint="eastAsia" w:ascii="宋体" w:hAnsi="宋体" w:cs="宋体"/>
          <w:szCs w:val="21"/>
        </w:rPr>
        <w:t>2.1 “采购人”是指依法进行采购的国家机关、事业单位、团体组织。本次采购的采购人名称、地址、电话、联系人见</w:t>
      </w:r>
      <w:r>
        <w:rPr>
          <w:rFonts w:hint="eastAsia" w:ascii="宋体" w:hAnsi="宋体" w:cs="宋体"/>
          <w:b/>
          <w:szCs w:val="21"/>
        </w:rPr>
        <w:t>磋商须知前附表</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b/>
          <w:szCs w:val="21"/>
        </w:rPr>
      </w:pPr>
      <w:r>
        <w:rPr>
          <w:rFonts w:hint="eastAsia" w:ascii="宋体" w:hAnsi="宋体" w:cs="宋体"/>
          <w:szCs w:val="21"/>
        </w:rPr>
        <w:t>2.2 “采购代理机构”是指接受采购人委托，代理采购项目的集中采购机构和其他采购代理机构。本次采购的采购代理机构名称、地址、电话、联系人见</w:t>
      </w:r>
      <w:r>
        <w:rPr>
          <w:rFonts w:hint="eastAsia" w:ascii="宋体" w:hAnsi="宋体" w:cs="宋体"/>
          <w:b/>
          <w:szCs w:val="21"/>
        </w:rPr>
        <w:t>磋商须知前附表。</w:t>
      </w:r>
    </w:p>
    <w:p>
      <w:pPr>
        <w:adjustRightInd w:val="0"/>
        <w:snapToGrid w:val="0"/>
        <w:spacing w:before="120" w:beforeLines="50" w:after="120" w:afterLines="50" w:line="360" w:lineRule="auto"/>
        <w:ind w:firstLine="420" w:firstLineChars="200"/>
        <w:rPr>
          <w:rFonts w:hint="eastAsia" w:ascii="宋体" w:hAnsi="宋体" w:cs="宋体"/>
          <w:bCs/>
          <w:kern w:val="36"/>
          <w:szCs w:val="21"/>
        </w:rPr>
      </w:pPr>
      <w:r>
        <w:rPr>
          <w:rFonts w:hint="eastAsia" w:ascii="宋体" w:hAnsi="宋体" w:cs="宋体"/>
          <w:szCs w:val="21"/>
        </w:rPr>
        <w:t>2.3 “供应商”是指响应磋商文件要求、参加竞争性磋商采购的法人、其他组织或者自然人。本次采购项目</w:t>
      </w:r>
      <w:r>
        <w:rPr>
          <w:rFonts w:hint="eastAsia" w:ascii="宋体" w:hAnsi="宋体" w:cs="宋体"/>
          <w:kern w:val="0"/>
          <w:szCs w:val="21"/>
        </w:rPr>
        <w:t>邀请</w:t>
      </w:r>
      <w:r>
        <w:rPr>
          <w:rFonts w:hint="eastAsia" w:ascii="宋体" w:hAnsi="宋体" w:cs="宋体"/>
          <w:szCs w:val="21"/>
        </w:rPr>
        <w:t>的</w:t>
      </w:r>
      <w:r>
        <w:rPr>
          <w:rFonts w:hint="eastAsia" w:ascii="宋体" w:hAnsi="宋体" w:cs="宋体"/>
          <w:kern w:val="0"/>
          <w:szCs w:val="21"/>
        </w:rPr>
        <w:t>供应商通过</w:t>
      </w:r>
      <w:r>
        <w:rPr>
          <w:rFonts w:hint="eastAsia" w:ascii="宋体" w:hAnsi="宋体" w:cs="宋体"/>
          <w:b/>
          <w:szCs w:val="21"/>
        </w:rPr>
        <w:t>磋商须知前附表</w:t>
      </w:r>
      <w:r>
        <w:rPr>
          <w:rFonts w:hint="eastAsia" w:ascii="宋体" w:hAnsi="宋体" w:cs="宋体"/>
          <w:szCs w:val="21"/>
        </w:rPr>
        <w:t>所述方式</w:t>
      </w:r>
      <w:r>
        <w:rPr>
          <w:rFonts w:hint="eastAsia" w:ascii="宋体" w:hAnsi="宋体" w:cs="宋体"/>
          <w:kern w:val="0"/>
          <w:szCs w:val="21"/>
        </w:rPr>
        <w:t>，邀请符合资格条件的供应商提交响应文件（含资格证明资料），参与竞争性磋商采购活动。</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szCs w:val="21"/>
        </w:rPr>
        <w:t>2.4 “磋商小组”是指</w:t>
      </w:r>
      <w:r>
        <w:rPr>
          <w:rFonts w:hint="eastAsia" w:ascii="宋体" w:hAnsi="宋体" w:cs="宋体"/>
          <w:kern w:val="0"/>
          <w:szCs w:val="21"/>
        </w:rPr>
        <w:t>依据财政部</w:t>
      </w:r>
      <w:r>
        <w:rPr>
          <w:rFonts w:hint="eastAsia" w:ascii="宋体" w:hAnsi="宋体" w:cs="宋体"/>
          <w:bCs/>
          <w:kern w:val="36"/>
          <w:szCs w:val="21"/>
        </w:rPr>
        <w:t>《政府采购竞争性磋商采购方式管理暂行办法》有关规定组建，依法依规</w:t>
      </w:r>
      <w:r>
        <w:rPr>
          <w:rFonts w:hint="eastAsia" w:ascii="宋体" w:hAnsi="宋体" w:cs="宋体"/>
          <w:kern w:val="0"/>
          <w:szCs w:val="21"/>
        </w:rPr>
        <w:t>履行其职责和义务的机构。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2.5 “货物”是指各种形态和种类的物品，包括原资料、燃料、设备、产品等，详见《政府采购品目分类目录》(</w:t>
      </w:r>
      <w:r>
        <w:rPr>
          <w:rStyle w:val="21"/>
          <w:rFonts w:hint="eastAsia" w:ascii="宋体" w:hAnsi="宋体" w:cs="宋体"/>
          <w:b w:val="0"/>
          <w:szCs w:val="21"/>
        </w:rPr>
        <w:t>财库[2013]189号</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2.6 “工程”是指建设工程，包括建筑物和构筑物的新建、改建、扩建、装修、拆除、修缮等，详见《政府采购品目分类目录》(</w:t>
      </w:r>
      <w:r>
        <w:rPr>
          <w:rStyle w:val="21"/>
          <w:rFonts w:hint="eastAsia" w:ascii="宋体" w:hAnsi="宋体" w:cs="宋体"/>
          <w:b w:val="0"/>
          <w:szCs w:val="21"/>
        </w:rPr>
        <w:t>财库[2013]189号</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2.7 “服务”是指除货物和工程以外的其他政府采购对象，详见《政府采购品目分类目录》(</w:t>
      </w:r>
      <w:r>
        <w:rPr>
          <w:rStyle w:val="21"/>
          <w:rFonts w:hint="eastAsia" w:ascii="宋体" w:hAnsi="宋体" w:cs="宋体"/>
          <w:b w:val="0"/>
          <w:szCs w:val="21"/>
        </w:rPr>
        <w:t>财库[2013]189号</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kern w:val="0"/>
          <w:szCs w:val="21"/>
        </w:rPr>
        <w:t>2.8</w:t>
      </w:r>
      <w:r>
        <w:rPr>
          <w:rFonts w:hint="eastAsia" w:ascii="宋体" w:hAnsi="宋体" w:cs="宋体"/>
          <w:szCs w:val="21"/>
        </w:rPr>
        <w:t xml:space="preserve"> “节能产品”或者“环保产品”是指财政部发布的《节能产品政府采购品目清单》或者《环境标志产品政府采购品目清单》的产品，“两型产品”是指湖南省财政厅发布的《湖南省两型产品政府采购目录》的产品。</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szCs w:val="21"/>
        </w:rPr>
        <w:t>2.9</w:t>
      </w:r>
      <w:r>
        <w:rPr>
          <w:rFonts w:hint="eastAsia" w:ascii="宋体" w:hAnsi="宋体" w:cs="宋体"/>
          <w:kern w:val="0"/>
          <w:szCs w:val="21"/>
        </w:rPr>
        <w:t xml:space="preserve"> “进口产品”是指通过中国海关报关验放进入中国境内且产自关境外的产品，详见《关于政府采购进口产品管理有关问题的通知》(财库[2007]119号)。</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3.供应商的资格要求</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3.1 供应商应当符合</w:t>
      </w:r>
      <w:r>
        <w:rPr>
          <w:rFonts w:hint="eastAsia" w:ascii="宋体" w:hAnsi="宋体" w:cs="宋体"/>
          <w:b/>
          <w:szCs w:val="21"/>
        </w:rPr>
        <w:t>磋商须知前附表</w:t>
      </w:r>
      <w:r>
        <w:rPr>
          <w:rFonts w:hint="eastAsia" w:ascii="宋体" w:hAnsi="宋体" w:cs="宋体"/>
          <w:szCs w:val="21"/>
        </w:rPr>
        <w:t>中规定的资格条件要求。</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 xml:space="preserve">3.2供应商为联合体形式的，除应满足本章第3.1款资格条件要求及第3.3款规定外，还应遵守以下规定： </w:t>
      </w:r>
    </w:p>
    <w:p>
      <w:pPr>
        <w:adjustRightInd w:val="0"/>
        <w:snapToGrid w:val="0"/>
        <w:spacing w:before="120" w:beforeLines="50" w:after="120" w:afterLines="50" w:line="360" w:lineRule="auto"/>
        <w:ind w:firstLine="420" w:firstLineChars="200"/>
        <w:jc w:val="left"/>
        <w:rPr>
          <w:rFonts w:hint="eastAsia" w:ascii="宋体" w:hAnsi="宋体" w:cs="宋体"/>
          <w:kern w:val="0"/>
          <w:szCs w:val="21"/>
          <w:lang w:val="zh-CN"/>
        </w:rPr>
      </w:pPr>
      <w:r>
        <w:rPr>
          <w:rFonts w:hint="eastAsia" w:ascii="宋体" w:hAnsi="宋体" w:cs="宋体"/>
          <w:kern w:val="0"/>
          <w:szCs w:val="21"/>
          <w:lang w:val="zh-CN"/>
        </w:rPr>
        <w:t>（1）联合体各方应按磋商文件提供的格式签订联合体协议书，明确联合体牵头人和各方权利义务(含承担工作及工作量比例)；</w:t>
      </w:r>
    </w:p>
    <w:p>
      <w:pPr>
        <w:adjustRightInd w:val="0"/>
        <w:snapToGrid w:val="0"/>
        <w:spacing w:before="120" w:beforeLines="50" w:after="120" w:afterLines="50" w:line="360" w:lineRule="auto"/>
        <w:ind w:firstLine="420" w:firstLineChars="200"/>
        <w:jc w:val="left"/>
        <w:rPr>
          <w:rFonts w:hint="eastAsia" w:ascii="宋体" w:hAnsi="宋体" w:cs="宋体"/>
          <w:kern w:val="0"/>
          <w:szCs w:val="21"/>
          <w:lang w:val="zh-CN"/>
        </w:rPr>
      </w:pPr>
      <w:r>
        <w:rPr>
          <w:rFonts w:hint="eastAsia" w:ascii="宋体" w:hAnsi="宋体" w:cs="宋体"/>
          <w:kern w:val="0"/>
          <w:szCs w:val="21"/>
          <w:lang w:val="zh-CN"/>
        </w:rPr>
        <w:t>（2）联合体中有同类资质的供应商按照联合体分工承担相同工作的，应当按照资质等级较低的供应商确定资质等级；</w:t>
      </w:r>
    </w:p>
    <w:p>
      <w:pPr>
        <w:adjustRightInd w:val="0"/>
        <w:snapToGrid w:val="0"/>
        <w:spacing w:before="120" w:beforeLines="50" w:after="120" w:afterLines="50" w:line="360" w:lineRule="auto"/>
        <w:ind w:firstLine="420" w:firstLineChars="200"/>
        <w:jc w:val="left"/>
        <w:rPr>
          <w:rFonts w:hint="eastAsia" w:ascii="宋体" w:hAnsi="宋体" w:cs="宋体"/>
          <w:kern w:val="0"/>
          <w:szCs w:val="21"/>
          <w:lang w:val="zh-CN"/>
        </w:rPr>
      </w:pPr>
      <w:r>
        <w:rPr>
          <w:rFonts w:hint="eastAsia" w:ascii="宋体" w:hAnsi="宋体" w:cs="宋体"/>
          <w:kern w:val="0"/>
          <w:szCs w:val="21"/>
          <w:lang w:val="zh-CN"/>
        </w:rPr>
        <w:t>（3）以联合体形式参加采购活动的，联合体各方不得再单独参加或者与其他供应商另外组成联合体参加同一合同项下的政府采购活动。</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3.3 供应商不得存在下列情形之一：</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（l）与采购人、采购代理机构存在</w:t>
      </w:r>
      <w:r>
        <w:rPr>
          <w:rFonts w:hint="eastAsia" w:ascii="宋体" w:hAnsi="宋体" w:cs="宋体"/>
          <w:bCs/>
          <w:szCs w:val="21"/>
        </w:rPr>
        <w:t>隶属关系或者其他利害关系</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（2）与其他供应商的法定代表人（或者负责人）为同一人，或者与其他供应商存在直接控股、管理关系。</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w:t>
      </w:r>
      <w:r>
        <w:rPr>
          <w:rFonts w:hint="eastAsia" w:ascii="宋体" w:hAnsi="宋体" w:cs="宋体"/>
          <w:bCs/>
          <w:szCs w:val="21"/>
        </w:rPr>
        <w:t>受到刑事处罚，或者受到三万元以上的罚款、责令停产停业、在一至三年内禁止参加政府采购活动、暂扣或者吊销许可证、暂扣或者吊销执照等情形之一的行政处罚，或者存在</w:t>
      </w:r>
      <w:r>
        <w:rPr>
          <w:rFonts w:hint="eastAsia" w:ascii="宋体" w:hAnsi="宋体" w:cs="宋体"/>
          <w:szCs w:val="21"/>
        </w:rPr>
        <w:t>财政部门认定的其他重大违法记录。</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 xml:space="preserve">4.参与磋商的费用 </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4.1 无论磋商的结果如何，供应商应自行承担所有与竞争性磋商采购活动有关的全部费用。</w:t>
      </w:r>
    </w:p>
    <w:p>
      <w:pPr>
        <w:pStyle w:val="9"/>
        <w:adjustRightInd w:val="0"/>
        <w:snapToGrid w:val="0"/>
        <w:spacing w:before="120" w:beforeLines="50" w:after="120" w:afterLines="50" w:line="360" w:lineRule="auto"/>
        <w:rPr>
          <w:rFonts w:hint="eastAsia" w:hAnsi="宋体" w:cs="宋体"/>
          <w:b/>
          <w:bCs/>
        </w:rPr>
      </w:pPr>
      <w:r>
        <w:rPr>
          <w:rFonts w:hint="eastAsia" w:hAnsi="宋体" w:cs="宋体"/>
          <w:b/>
        </w:rPr>
        <w:t>5．</w:t>
      </w:r>
      <w:r>
        <w:rPr>
          <w:rFonts w:hint="eastAsia" w:hAnsi="宋体" w:cs="宋体"/>
          <w:b/>
          <w:bCs/>
        </w:rPr>
        <w:t>授权委托</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5.1供应商代表为供应商法定代表人的，应具备法定代表人身份证明。供应商代表不是供应商法定代表人的，应具备法定代表人授权书，并附法定代表人身份证明。</w:t>
      </w:r>
    </w:p>
    <w:p>
      <w:pPr>
        <w:pStyle w:val="9"/>
        <w:adjustRightInd w:val="0"/>
        <w:snapToGrid w:val="0"/>
        <w:spacing w:before="120" w:beforeLines="50" w:after="120" w:afterLines="50" w:line="360" w:lineRule="auto"/>
        <w:rPr>
          <w:rFonts w:hint="eastAsia" w:hAnsi="宋体" w:cs="宋体"/>
          <w:b/>
        </w:rPr>
      </w:pPr>
      <w:r>
        <w:rPr>
          <w:rFonts w:hint="eastAsia" w:hAnsi="宋体" w:cs="宋体"/>
          <w:b/>
        </w:rPr>
        <w:t>6．联合体形式</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6.1除</w:t>
      </w:r>
      <w:r>
        <w:rPr>
          <w:rFonts w:hint="eastAsia" w:hAnsi="宋体" w:cs="宋体"/>
          <w:b/>
        </w:rPr>
        <w:t>磋商须知前附表</w:t>
      </w:r>
      <w:r>
        <w:rPr>
          <w:rFonts w:hint="eastAsia" w:hAnsi="宋体" w:cs="宋体"/>
        </w:rPr>
        <w:t>中另有规定，本次采购不接受为联合体形式的供应商。</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6.2供应商为联合体形式的，除应符合本章第3条规定外，还应遵守以下规定：</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（l）联合体各方必须签订联合体协议书，明确联合体牵头人和各方的义务、工作、合同工作量比例；</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（2）联合体各方均应当符合本章第3.1</w:t>
      </w:r>
      <w:r>
        <w:rPr>
          <w:rFonts w:hint="eastAsia" w:ascii="宋体" w:hAnsi="宋体" w:cs="宋体"/>
          <w:kern w:val="0"/>
          <w:szCs w:val="21"/>
          <w:lang w:val="zh-CN"/>
        </w:rPr>
        <w:t>款</w:t>
      </w:r>
      <w:r>
        <w:rPr>
          <w:rFonts w:hint="eastAsia" w:ascii="宋体" w:hAnsi="宋体" w:cs="宋体"/>
          <w:szCs w:val="21"/>
        </w:rPr>
        <w:t>规定的供应商基本资格条件；</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（3）除</w:t>
      </w:r>
      <w:r>
        <w:rPr>
          <w:rFonts w:hint="eastAsia" w:ascii="宋体" w:hAnsi="宋体" w:cs="宋体"/>
          <w:b/>
          <w:szCs w:val="21"/>
        </w:rPr>
        <w:t>磋商须知前附表</w:t>
      </w:r>
      <w:r>
        <w:rPr>
          <w:rFonts w:hint="eastAsia" w:ascii="宋体" w:hAnsi="宋体" w:cs="宋体"/>
          <w:szCs w:val="21"/>
        </w:rPr>
        <w:t>中另有规定，联合体各方中至少有一方应当符合本章第3.1</w:t>
      </w:r>
      <w:r>
        <w:rPr>
          <w:rFonts w:hint="eastAsia" w:ascii="宋体" w:hAnsi="宋体" w:cs="宋体"/>
          <w:kern w:val="0"/>
          <w:szCs w:val="21"/>
          <w:lang w:val="zh-CN"/>
        </w:rPr>
        <w:t>款</w:t>
      </w:r>
      <w:r>
        <w:rPr>
          <w:rFonts w:hint="eastAsia" w:ascii="宋体" w:hAnsi="宋体" w:cs="宋体"/>
          <w:szCs w:val="21"/>
        </w:rPr>
        <w:t>规定的供应商特定资格条件；</w:t>
      </w:r>
    </w:p>
    <w:p>
      <w:pPr>
        <w:adjustRightInd w:val="0"/>
        <w:snapToGrid w:val="0"/>
        <w:spacing w:before="120" w:beforeLines="50" w:after="120" w:afterLines="50" w:line="360" w:lineRule="auto"/>
        <w:ind w:firstLine="420" w:firstLineChars="200"/>
        <w:jc w:val="left"/>
        <w:rPr>
          <w:rFonts w:hint="eastAsia" w:ascii="宋体" w:hAnsi="宋体" w:cs="宋体"/>
          <w:kern w:val="0"/>
          <w:szCs w:val="21"/>
          <w:lang w:val="zh-CN"/>
        </w:rPr>
      </w:pPr>
      <w:r>
        <w:rPr>
          <w:rFonts w:hint="eastAsia" w:ascii="宋体" w:hAnsi="宋体" w:cs="宋体"/>
          <w:szCs w:val="21"/>
        </w:rPr>
        <w:t>（4）</w:t>
      </w:r>
      <w:r>
        <w:rPr>
          <w:rFonts w:hint="eastAsia" w:ascii="宋体" w:hAnsi="宋体" w:cs="宋体"/>
          <w:kern w:val="0"/>
          <w:szCs w:val="21"/>
          <w:lang w:val="zh-CN"/>
        </w:rPr>
        <w:t>联合体各方不得再单独或与其他供应商组成新的联合体参加同一项目的采购活动。</w:t>
      </w:r>
    </w:p>
    <w:p>
      <w:pPr>
        <w:adjustRightInd w:val="0"/>
        <w:snapToGrid w:val="0"/>
        <w:spacing w:before="120" w:beforeLines="50" w:after="120" w:afterLines="50" w:line="360" w:lineRule="auto"/>
        <w:rPr>
          <w:rFonts w:hint="eastAsia" w:ascii="宋体" w:hAnsi="宋体" w:cs="宋体"/>
          <w:b/>
          <w:szCs w:val="21"/>
        </w:rPr>
      </w:pPr>
      <w:r>
        <w:rPr>
          <w:rFonts w:hint="eastAsia" w:ascii="宋体" w:hAnsi="宋体" w:cs="宋体"/>
          <w:b/>
          <w:szCs w:val="21"/>
        </w:rPr>
        <w:t>7.现场勘察</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7.1供应商应按</w:t>
      </w:r>
      <w:r>
        <w:rPr>
          <w:rFonts w:hint="eastAsia" w:ascii="宋体" w:hAnsi="宋体" w:cs="宋体"/>
          <w:b/>
          <w:szCs w:val="21"/>
        </w:rPr>
        <w:t>磋商须知前附表</w:t>
      </w:r>
      <w:r>
        <w:rPr>
          <w:rFonts w:hint="eastAsia" w:ascii="宋体" w:hAnsi="宋体" w:cs="宋体"/>
          <w:szCs w:val="21"/>
        </w:rPr>
        <w:t>中规定对采购项目现场和周围环境的现场考察。</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7.2勘察现场的费用由供应商自己承担，勘察期间所发生的人身伤害及财产损失由供应商自己负责。</w:t>
      </w:r>
    </w:p>
    <w:p>
      <w:pPr>
        <w:adjustRightInd w:val="0"/>
        <w:snapToGrid w:val="0"/>
        <w:spacing w:before="120" w:beforeLines="50" w:after="120" w:afterLines="50" w:line="360" w:lineRule="auto"/>
        <w:ind w:firstLine="420" w:firstLineChars="200"/>
        <w:jc w:val="left"/>
        <w:rPr>
          <w:rFonts w:hint="eastAsia" w:ascii="宋体" w:hAnsi="宋体" w:cs="宋体"/>
          <w:b/>
          <w:szCs w:val="21"/>
        </w:rPr>
      </w:pPr>
      <w:r>
        <w:rPr>
          <w:rFonts w:hint="eastAsia" w:ascii="宋体" w:hAnsi="宋体" w:cs="宋体"/>
          <w:szCs w:val="21"/>
        </w:rPr>
        <w:t>7.3采购人不对供应商据此而做出的推论、理解和结论负责。一旦成交，供应商不得以任何借口，提出额外补偿，或延长合同期限的要求。</w:t>
      </w:r>
    </w:p>
    <w:p>
      <w:pPr>
        <w:adjustRightInd w:val="0"/>
        <w:snapToGrid w:val="0"/>
        <w:spacing w:before="120" w:beforeLines="50" w:after="120" w:afterLines="50" w:line="360" w:lineRule="auto"/>
        <w:jc w:val="left"/>
        <w:rPr>
          <w:rFonts w:hint="eastAsia" w:ascii="宋体" w:hAnsi="宋体" w:cs="宋体"/>
          <w:b/>
          <w:szCs w:val="21"/>
        </w:rPr>
      </w:pPr>
      <w:r>
        <w:rPr>
          <w:rFonts w:hint="eastAsia" w:ascii="宋体" w:hAnsi="宋体" w:cs="宋体"/>
          <w:b/>
          <w:szCs w:val="21"/>
        </w:rPr>
        <w:t>8.采购进口产品</w:t>
      </w:r>
    </w:p>
    <w:p>
      <w:pPr>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szCs w:val="21"/>
        </w:rPr>
        <w:t>8.1除</w:t>
      </w:r>
      <w:r>
        <w:rPr>
          <w:rFonts w:hint="eastAsia" w:ascii="宋体" w:hAnsi="宋体" w:cs="宋体"/>
          <w:b/>
          <w:szCs w:val="21"/>
        </w:rPr>
        <w:t>磋商文件前附表</w:t>
      </w:r>
      <w:r>
        <w:rPr>
          <w:rFonts w:hint="eastAsia" w:ascii="宋体" w:hAnsi="宋体" w:cs="宋体"/>
          <w:szCs w:val="21"/>
        </w:rPr>
        <w:t>另有规定外，本项目</w:t>
      </w:r>
      <w:r>
        <w:rPr>
          <w:rFonts w:hint="eastAsia" w:ascii="宋体" w:hAnsi="宋体" w:cs="宋体"/>
          <w:kern w:val="0"/>
          <w:szCs w:val="21"/>
        </w:rPr>
        <w:t>拒绝进口产品参加</w:t>
      </w:r>
      <w:r>
        <w:rPr>
          <w:rFonts w:hint="eastAsia" w:ascii="宋体" w:hAnsi="宋体" w:cs="宋体"/>
          <w:szCs w:val="21"/>
        </w:rPr>
        <w:t>竞争性磋商采购活动</w:t>
      </w:r>
      <w:r>
        <w:rPr>
          <w:rFonts w:hint="eastAsia" w:ascii="宋体" w:hAnsi="宋体" w:cs="宋体"/>
          <w:kern w:val="0"/>
          <w:szCs w:val="21"/>
        </w:rPr>
        <w:t>。</w:t>
      </w:r>
    </w:p>
    <w:p>
      <w:pPr>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8.2</w:t>
      </w:r>
      <w:r>
        <w:rPr>
          <w:rFonts w:hint="eastAsia" w:ascii="宋体" w:hAnsi="宋体" w:cs="宋体"/>
          <w:szCs w:val="21"/>
        </w:rPr>
        <w:t>本章第7.1</w:t>
      </w:r>
      <w:r>
        <w:rPr>
          <w:rFonts w:hint="eastAsia" w:ascii="宋体" w:hAnsi="宋体" w:cs="宋体"/>
          <w:kern w:val="0"/>
          <w:szCs w:val="21"/>
          <w:lang w:val="zh-CN"/>
        </w:rPr>
        <w:t>款</w:t>
      </w:r>
      <w:r>
        <w:rPr>
          <w:rFonts w:hint="eastAsia" w:ascii="宋体" w:hAnsi="宋体" w:cs="宋体"/>
          <w:szCs w:val="21"/>
        </w:rPr>
        <w:t>规定</w:t>
      </w:r>
      <w:r>
        <w:rPr>
          <w:rFonts w:hint="eastAsia" w:ascii="宋体" w:hAnsi="宋体" w:cs="宋体"/>
          <w:kern w:val="0"/>
          <w:szCs w:val="21"/>
        </w:rPr>
        <w:t>同意购买进口产品的，</w:t>
      </w:r>
      <w:r>
        <w:rPr>
          <w:rFonts w:hint="eastAsia" w:ascii="宋体" w:hAnsi="宋体" w:cs="宋体"/>
          <w:szCs w:val="21"/>
        </w:rPr>
        <w:t>本项目</w:t>
      </w:r>
      <w:r>
        <w:rPr>
          <w:rFonts w:hint="eastAsia" w:ascii="宋体" w:hAnsi="宋体" w:cs="宋体"/>
          <w:kern w:val="0"/>
          <w:szCs w:val="21"/>
          <w:lang w:val="zh-CN"/>
        </w:rPr>
        <w:t>采购活动</w:t>
      </w:r>
      <w:r>
        <w:rPr>
          <w:rFonts w:hint="eastAsia" w:ascii="宋体" w:hAnsi="宋体" w:cs="宋体"/>
          <w:kern w:val="0"/>
          <w:szCs w:val="21"/>
        </w:rPr>
        <w:t>不限制满足</w:t>
      </w:r>
      <w:r>
        <w:rPr>
          <w:rFonts w:hint="eastAsia" w:ascii="宋体" w:hAnsi="宋体" w:cs="宋体"/>
          <w:szCs w:val="21"/>
        </w:rPr>
        <w:t>磋商文件要求</w:t>
      </w:r>
      <w:r>
        <w:rPr>
          <w:rFonts w:hint="eastAsia" w:ascii="宋体" w:hAnsi="宋体" w:cs="宋体"/>
          <w:kern w:val="0"/>
          <w:szCs w:val="21"/>
        </w:rPr>
        <w:t>的国内产品参与</w:t>
      </w:r>
      <w:r>
        <w:rPr>
          <w:rFonts w:hint="eastAsia" w:ascii="宋体" w:hAnsi="宋体" w:cs="宋体"/>
          <w:szCs w:val="21"/>
        </w:rPr>
        <w:t>竞争性磋商</w:t>
      </w:r>
      <w:r>
        <w:rPr>
          <w:rFonts w:hint="eastAsia" w:ascii="宋体" w:hAnsi="宋体" w:cs="宋体"/>
          <w:kern w:val="0"/>
          <w:szCs w:val="21"/>
        </w:rPr>
        <w:t>。</w:t>
      </w:r>
    </w:p>
    <w:p>
      <w:pPr>
        <w:adjustRightInd w:val="0"/>
        <w:snapToGrid w:val="0"/>
        <w:spacing w:before="120" w:beforeLines="50" w:after="120" w:afterLines="50" w:line="360" w:lineRule="auto"/>
        <w:jc w:val="left"/>
        <w:rPr>
          <w:rFonts w:hint="eastAsia" w:ascii="宋体" w:hAnsi="宋体" w:cs="宋体"/>
          <w:b/>
          <w:szCs w:val="21"/>
        </w:rPr>
      </w:pPr>
      <w:r>
        <w:rPr>
          <w:rFonts w:hint="eastAsia" w:ascii="宋体" w:hAnsi="宋体" w:cs="宋体"/>
          <w:b/>
          <w:bCs/>
          <w:szCs w:val="21"/>
        </w:rPr>
        <w:t>9.</w:t>
      </w:r>
      <w:r>
        <w:rPr>
          <w:rFonts w:hint="eastAsia" w:ascii="宋体" w:hAnsi="宋体" w:cs="宋体"/>
          <w:b/>
          <w:szCs w:val="21"/>
        </w:rPr>
        <w:t xml:space="preserve"> 政府采购政策支持（本项目不适用）</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kern w:val="0"/>
          <w:szCs w:val="21"/>
        </w:rPr>
        <w:t>9.1对列入财政部、国家发展改革委发布的《节能产品政府采购品目清单》且属于应当“强制采购的节能产品”，按照规定实行强制采购。实行政府采购强制采购的节能产品见</w:t>
      </w:r>
      <w:r>
        <w:rPr>
          <w:rFonts w:hint="eastAsia" w:ascii="宋体" w:hAnsi="宋体" w:cs="宋体"/>
          <w:b/>
          <w:kern w:val="0"/>
          <w:szCs w:val="21"/>
        </w:rPr>
        <w:t>磋商文件前附表。</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kern w:val="0"/>
        </w:rPr>
        <w:t>9.2对列入财政部、国家发展改革委发布的《节能产品政府采购品目清单》的“非强制采购节能产品”，财政部、环境保护部发布的《环境标志产品政府采购品目清单》的“环境标志产品”，湖南省财政厅、湖南省科学技术厅、湖南省长株潭“两型社会”试验区建设管理委员会发布的《湖南省两型产品政府采购目录》的“两型产品”以及小型微型企业，实行优先采购，按照省级以上财政部门有关政策规定，评审时进行价格扣除或加分。实行政府采购优先采购的优惠率见</w:t>
      </w:r>
      <w:r>
        <w:rPr>
          <w:rFonts w:hint="eastAsia" w:hAnsi="宋体" w:cs="宋体"/>
          <w:b/>
          <w:kern w:val="0"/>
        </w:rPr>
        <w:t>磋商文件前附表。</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kern w:val="0"/>
          <w:szCs w:val="21"/>
        </w:rPr>
        <w:t>9.3产品同时属于“非强制采购节能产品”、“环境标志产品”及“两型产品”的，评审时只有其中一项能享受优先待遇(供应商自行选择，并在报价文件中并填报相关信息及数据)；小型微型企业可以与同时属于“非强制采购节能产品”、“环境标志产品”及“两型产品”中的一项重复计算。</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9.4同一项目中部分产品属于优先采购政策的，评审时只对该部分产品的报价实行价格扣除及加分。</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9.5符合本章第9.1</w:t>
      </w:r>
      <w:r>
        <w:rPr>
          <w:rFonts w:hint="eastAsia" w:ascii="宋体" w:hAnsi="宋体" w:cs="宋体"/>
          <w:kern w:val="0"/>
          <w:szCs w:val="21"/>
          <w:lang w:val="zh-CN"/>
        </w:rPr>
        <w:t>款、</w:t>
      </w:r>
      <w:r>
        <w:rPr>
          <w:rFonts w:hint="eastAsia" w:ascii="宋体" w:hAnsi="宋体" w:cs="宋体"/>
          <w:szCs w:val="21"/>
        </w:rPr>
        <w:t>第9.2</w:t>
      </w:r>
      <w:r>
        <w:rPr>
          <w:rFonts w:hint="eastAsia" w:ascii="宋体" w:hAnsi="宋体" w:cs="宋体"/>
          <w:kern w:val="0"/>
          <w:szCs w:val="21"/>
          <w:lang w:val="zh-CN"/>
        </w:rPr>
        <w:t>款</w:t>
      </w:r>
      <w:r>
        <w:rPr>
          <w:rFonts w:hint="eastAsia" w:ascii="宋体" w:hAnsi="宋体" w:cs="宋体"/>
          <w:szCs w:val="21"/>
        </w:rPr>
        <w:t>规定的，应提供相关证明资料。</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9.6供应商有融资、担保需求的，具体办理流程可向</w:t>
      </w:r>
      <w:r>
        <w:rPr>
          <w:rFonts w:hint="eastAsia" w:ascii="宋体" w:hAnsi="宋体" w:cs="宋体"/>
          <w:b/>
          <w:szCs w:val="21"/>
        </w:rPr>
        <w:t>磋商须知前附表</w:t>
      </w:r>
      <w:r>
        <w:rPr>
          <w:rFonts w:hint="eastAsia" w:ascii="宋体" w:hAnsi="宋体" w:cs="宋体"/>
          <w:szCs w:val="21"/>
        </w:rPr>
        <w:t>所列金融机构和担保机构询问。</w:t>
      </w: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18" w:name="_Toc19152"/>
      <w:bookmarkStart w:id="19" w:name="_Toc23007"/>
      <w:r>
        <w:rPr>
          <w:rFonts w:hint="eastAsia" w:ascii="宋体" w:hAnsi="宋体" w:cs="宋体"/>
          <w:sz w:val="28"/>
          <w:szCs w:val="28"/>
        </w:rPr>
        <w:t>二、磋商文件</w:t>
      </w:r>
      <w:bookmarkEnd w:id="18"/>
      <w:bookmarkEnd w:id="19"/>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10．磋商文件的组成</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10.1 磋商文件由下列文件组成：</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第一章 磋商公告</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第二章 磋商须知</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第三章 采购合同格式</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第四章 采购需求</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第五章 响应文件组成</w:t>
      </w:r>
    </w:p>
    <w:p>
      <w:pPr>
        <w:pStyle w:val="9"/>
        <w:adjustRightInd w:val="0"/>
        <w:snapToGrid w:val="0"/>
        <w:spacing w:before="120" w:beforeLines="50" w:after="120" w:afterLines="50" w:line="360" w:lineRule="auto"/>
        <w:ind w:firstLine="420" w:firstLineChars="200"/>
        <w:rPr>
          <w:rFonts w:hint="eastAsia" w:hAnsi="宋体" w:cs="宋体"/>
          <w:kern w:val="0"/>
        </w:rPr>
      </w:pPr>
      <w:r>
        <w:rPr>
          <w:rFonts w:hint="eastAsia" w:hAnsi="宋体" w:cs="宋体"/>
        </w:rPr>
        <w:t>10.2</w:t>
      </w:r>
      <w:r>
        <w:rPr>
          <w:rFonts w:hint="eastAsia" w:hAnsi="宋体" w:cs="宋体"/>
          <w:kern w:val="0"/>
        </w:rPr>
        <w:t>磋商小组根据与供应商磋商情况可能实质性变动的内容，包括采购需求中的技术、服务要求以及合同条款，</w:t>
      </w:r>
      <w:r>
        <w:rPr>
          <w:rFonts w:hint="eastAsia" w:hAnsi="宋体" w:cs="宋体"/>
        </w:rPr>
        <w:t>在</w:t>
      </w:r>
      <w:r>
        <w:rPr>
          <w:rFonts w:hint="eastAsia" w:hAnsi="宋体" w:cs="宋体"/>
          <w:b/>
        </w:rPr>
        <w:t>磋商须知前附表</w:t>
      </w:r>
      <w:r>
        <w:rPr>
          <w:rFonts w:hint="eastAsia" w:hAnsi="宋体" w:cs="宋体"/>
        </w:rPr>
        <w:t>中明确。</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10.3供应商应仔细阅读</w:t>
      </w:r>
      <w:r>
        <w:rPr>
          <w:rFonts w:hint="eastAsia" w:ascii="宋体" w:hAnsi="宋体" w:cs="宋体"/>
          <w:bCs/>
          <w:szCs w:val="21"/>
        </w:rPr>
        <w:t>磋商</w:t>
      </w:r>
      <w:r>
        <w:rPr>
          <w:rFonts w:hint="eastAsia" w:ascii="宋体" w:hAnsi="宋体" w:cs="宋体"/>
          <w:szCs w:val="21"/>
        </w:rPr>
        <w:t>文件的全部内容，按照</w:t>
      </w:r>
      <w:r>
        <w:rPr>
          <w:rFonts w:hint="eastAsia" w:ascii="宋体" w:hAnsi="宋体" w:cs="宋体"/>
          <w:bCs/>
          <w:szCs w:val="21"/>
        </w:rPr>
        <w:t>磋商</w:t>
      </w:r>
      <w:r>
        <w:rPr>
          <w:rFonts w:hint="eastAsia" w:ascii="宋体" w:hAnsi="宋体" w:cs="宋体"/>
          <w:szCs w:val="21"/>
        </w:rPr>
        <w:t>文件要求编制响应文件。任何对</w:t>
      </w:r>
      <w:r>
        <w:rPr>
          <w:rFonts w:hint="eastAsia" w:ascii="宋体" w:hAnsi="宋体" w:cs="宋体"/>
          <w:bCs/>
          <w:szCs w:val="21"/>
        </w:rPr>
        <w:t>磋商</w:t>
      </w:r>
      <w:r>
        <w:rPr>
          <w:rFonts w:hint="eastAsia" w:ascii="宋体" w:hAnsi="宋体" w:cs="宋体"/>
          <w:szCs w:val="21"/>
        </w:rPr>
        <w:t>文件的忽略或误解不能作为响应文件存在缺陷或瑕疵的理由，其风险由供应商承担。</w:t>
      </w:r>
    </w:p>
    <w:p>
      <w:pPr>
        <w:adjustRightInd w:val="0"/>
        <w:snapToGrid w:val="0"/>
        <w:spacing w:before="120" w:beforeLines="50" w:after="120" w:afterLines="50" w:line="360" w:lineRule="auto"/>
        <w:rPr>
          <w:rFonts w:hint="eastAsia" w:ascii="宋体" w:hAnsi="宋体" w:cs="宋体"/>
          <w:b/>
          <w:szCs w:val="21"/>
        </w:rPr>
      </w:pPr>
      <w:r>
        <w:rPr>
          <w:rFonts w:hint="eastAsia" w:ascii="宋体" w:hAnsi="宋体" w:cs="宋体"/>
          <w:b/>
          <w:szCs w:val="21"/>
        </w:rPr>
        <w:t>11. 磋商文件的提供期限</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11.1磋商文件的提供期限自开始发出之日起不得少于五个工作日。具体提供期限见</w:t>
      </w:r>
      <w:r>
        <w:rPr>
          <w:rFonts w:hint="eastAsia" w:ascii="宋体" w:hAnsi="宋体" w:cs="宋体"/>
          <w:b/>
          <w:szCs w:val="21"/>
        </w:rPr>
        <w:t>磋商文件前附表</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11.2供应商应持</w:t>
      </w:r>
      <w:r>
        <w:rPr>
          <w:rFonts w:hint="eastAsia" w:ascii="宋体" w:hAnsi="宋体" w:cs="宋体"/>
          <w:b/>
          <w:szCs w:val="21"/>
        </w:rPr>
        <w:t>磋商文件前附表</w:t>
      </w:r>
      <w:r>
        <w:rPr>
          <w:rFonts w:hint="eastAsia" w:ascii="宋体" w:hAnsi="宋体" w:cs="宋体"/>
          <w:szCs w:val="21"/>
        </w:rPr>
        <w:t>规定的资料领取或购买磋商文件。</w:t>
      </w:r>
    </w:p>
    <w:p>
      <w:pPr>
        <w:pStyle w:val="9"/>
        <w:adjustRightInd w:val="0"/>
        <w:snapToGrid w:val="0"/>
        <w:spacing w:before="120" w:beforeLines="50" w:after="120" w:afterLines="50" w:line="360" w:lineRule="auto"/>
        <w:rPr>
          <w:rFonts w:hint="eastAsia" w:hAnsi="宋体" w:cs="宋体"/>
        </w:rPr>
      </w:pPr>
      <w:r>
        <w:rPr>
          <w:rFonts w:hint="eastAsia" w:hAnsi="宋体" w:cs="宋体"/>
          <w:b/>
        </w:rPr>
        <w:t>12.</w:t>
      </w:r>
      <w:r>
        <w:rPr>
          <w:rFonts w:hint="eastAsia" w:hAnsi="宋体" w:cs="宋体"/>
          <w:b/>
          <w:kern w:val="0"/>
        </w:rPr>
        <w:t>提交首次响应文件</w:t>
      </w:r>
      <w:r>
        <w:rPr>
          <w:rFonts w:hint="eastAsia" w:hAnsi="宋体" w:cs="宋体"/>
          <w:b/>
        </w:rPr>
        <w:t>的</w:t>
      </w:r>
      <w:r>
        <w:rPr>
          <w:rFonts w:hint="eastAsia" w:hAnsi="宋体" w:cs="宋体"/>
          <w:b/>
          <w:kern w:val="0"/>
        </w:rPr>
        <w:t>截止</w:t>
      </w:r>
      <w:r>
        <w:rPr>
          <w:rFonts w:hint="eastAsia" w:hAnsi="宋体" w:cs="宋体"/>
          <w:b/>
        </w:rPr>
        <w:t>时间</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12.1</w:t>
      </w:r>
      <w:r>
        <w:rPr>
          <w:rFonts w:hint="eastAsia" w:hAnsi="宋体" w:cs="宋体"/>
          <w:kern w:val="0"/>
        </w:rPr>
        <w:t>供应商提交首次响应文件截止</w:t>
      </w:r>
      <w:r>
        <w:rPr>
          <w:rFonts w:hint="eastAsia" w:hAnsi="宋体" w:cs="宋体"/>
        </w:rPr>
        <w:t>时间见</w:t>
      </w:r>
      <w:r>
        <w:rPr>
          <w:rFonts w:hint="eastAsia" w:hAnsi="宋体" w:cs="宋体"/>
          <w:b/>
        </w:rPr>
        <w:t>磋商须知前附表</w:t>
      </w:r>
      <w:r>
        <w:rPr>
          <w:rFonts w:hint="eastAsia" w:hAnsi="宋体" w:cs="宋体"/>
        </w:rPr>
        <w:t>。</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13.磋商文件的澄清</w:t>
      </w:r>
      <w:r>
        <w:rPr>
          <w:rFonts w:hint="eastAsia" w:ascii="宋体" w:hAnsi="宋体" w:cs="宋体"/>
          <w:b/>
          <w:kern w:val="0"/>
          <w:szCs w:val="21"/>
          <w:lang w:val="zh-CN"/>
        </w:rPr>
        <w:t>或者</w:t>
      </w:r>
      <w:r>
        <w:rPr>
          <w:rFonts w:hint="eastAsia" w:ascii="宋体" w:hAnsi="宋体" w:cs="宋体"/>
          <w:b/>
          <w:bCs/>
          <w:szCs w:val="21"/>
        </w:rPr>
        <w:t>修改</w:t>
      </w:r>
    </w:p>
    <w:p>
      <w:pPr>
        <w:adjustRightInd w:val="0"/>
        <w:snapToGrid w:val="0"/>
        <w:spacing w:before="120" w:beforeLines="50" w:after="120" w:afterLines="50" w:line="360" w:lineRule="auto"/>
        <w:ind w:right="-105" w:rightChars="-50" w:firstLine="420" w:firstLineChars="200"/>
        <w:rPr>
          <w:rFonts w:hint="eastAsia" w:ascii="宋体" w:hAnsi="宋体" w:cs="宋体"/>
          <w:kern w:val="0"/>
          <w:szCs w:val="21"/>
        </w:rPr>
      </w:pPr>
      <w:r>
        <w:rPr>
          <w:rFonts w:hint="eastAsia" w:ascii="宋体" w:hAnsi="宋体" w:cs="宋体"/>
          <w:szCs w:val="21"/>
        </w:rPr>
        <w:t>13.1在</w:t>
      </w:r>
      <w:r>
        <w:rPr>
          <w:rFonts w:hint="eastAsia" w:ascii="宋体" w:hAnsi="宋体" w:cs="宋体"/>
          <w:kern w:val="0"/>
          <w:szCs w:val="21"/>
        </w:rPr>
        <w:t xml:space="preserve">提交首次响应文件截止之日前，采购人、采购代理机构可以对已发出的磋商文件进行必要的澄清或者修改。 </w:t>
      </w:r>
    </w:p>
    <w:p>
      <w:pPr>
        <w:adjustRightInd w:val="0"/>
        <w:snapToGrid w:val="0"/>
        <w:spacing w:before="120" w:beforeLines="50" w:after="120" w:afterLines="50" w:line="360" w:lineRule="auto"/>
        <w:ind w:right="-105" w:rightChars="-50" w:firstLine="420" w:firstLineChars="200"/>
        <w:rPr>
          <w:rFonts w:hint="eastAsia" w:ascii="宋体" w:hAnsi="宋体" w:cs="宋体"/>
          <w:kern w:val="0"/>
          <w:szCs w:val="21"/>
        </w:rPr>
      </w:pPr>
      <w:r>
        <w:rPr>
          <w:rFonts w:hint="eastAsia" w:ascii="宋体" w:hAnsi="宋体" w:cs="宋体"/>
          <w:szCs w:val="21"/>
        </w:rPr>
        <w:t>13.2</w:t>
      </w:r>
      <w:r>
        <w:rPr>
          <w:rFonts w:hint="eastAsia" w:ascii="宋体" w:hAnsi="宋体" w:cs="宋体"/>
          <w:kern w:val="0"/>
          <w:szCs w:val="21"/>
        </w:rPr>
        <w:t>澄清或者修改的内容可能影响响应文件编制的，采购人、采购代理机构应当在提交首次响应文件截止之日5个工作日前，以书面形式通知所有接收磋商文件的供应商，不足5个工作日的，顺延供应商提交首次响应文件截止时间。</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13.2</w:t>
      </w:r>
      <w:r>
        <w:rPr>
          <w:rFonts w:hint="eastAsia" w:hAnsi="宋体" w:cs="宋体"/>
          <w:kern w:val="0"/>
        </w:rPr>
        <w:t>提交首次响应文件截止时间前对磋商文件澄清或者修改内容，为磋商文件的组成部分。</w:t>
      </w: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20" w:name="_Toc12713"/>
      <w:bookmarkStart w:id="21" w:name="_Toc24769"/>
      <w:r>
        <w:rPr>
          <w:rFonts w:hint="eastAsia" w:ascii="宋体" w:hAnsi="宋体" w:cs="宋体"/>
          <w:sz w:val="28"/>
          <w:szCs w:val="28"/>
        </w:rPr>
        <w:t>三、响应文件</w:t>
      </w:r>
      <w:bookmarkEnd w:id="20"/>
      <w:bookmarkEnd w:id="21"/>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14.一般要求</w:t>
      </w:r>
    </w:p>
    <w:p>
      <w:pPr>
        <w:adjustRightInd w:val="0"/>
        <w:snapToGrid w:val="0"/>
        <w:spacing w:before="120" w:beforeLines="50" w:after="120" w:afterLines="50" w:line="360" w:lineRule="auto"/>
        <w:ind w:firstLine="420" w:firstLineChars="200"/>
        <w:rPr>
          <w:rFonts w:hint="eastAsia" w:ascii="宋体" w:hAnsi="宋体" w:cs="宋体"/>
          <w:bCs/>
          <w:szCs w:val="21"/>
        </w:rPr>
      </w:pPr>
      <w:r>
        <w:rPr>
          <w:rFonts w:hint="eastAsia" w:ascii="宋体" w:hAnsi="宋体" w:cs="宋体"/>
          <w:bCs/>
          <w:szCs w:val="21"/>
        </w:rPr>
        <w:t>14.1 供应商应仔细阅读磋商文件的所有内容，按磋商文件的要求编制响应文件，并保证所提供的全部资料的真实性，以使其响应文件对磋商文件做出实质性的响应。</w:t>
      </w:r>
    </w:p>
    <w:p>
      <w:pPr>
        <w:adjustRightInd w:val="0"/>
        <w:snapToGrid w:val="0"/>
        <w:spacing w:before="120" w:beforeLines="50" w:after="120" w:afterLines="50" w:line="360" w:lineRule="auto"/>
        <w:ind w:firstLine="420" w:firstLineChars="200"/>
        <w:rPr>
          <w:rFonts w:hint="eastAsia" w:ascii="宋体" w:hAnsi="宋体" w:cs="宋体"/>
          <w:bCs/>
          <w:szCs w:val="21"/>
        </w:rPr>
      </w:pPr>
      <w:r>
        <w:rPr>
          <w:rFonts w:hint="eastAsia" w:ascii="宋体" w:hAnsi="宋体" w:cs="宋体"/>
          <w:bCs/>
          <w:szCs w:val="21"/>
        </w:rPr>
        <w:t xml:space="preserve">14.2 </w:t>
      </w:r>
      <w:r>
        <w:rPr>
          <w:rFonts w:hint="eastAsia" w:ascii="宋体" w:hAnsi="宋体" w:cs="宋体"/>
          <w:szCs w:val="21"/>
        </w:rPr>
        <w:t>供应商提交的响应文件及供应商与采购人或采购代理机构、磋商小组就有关磋商的所有来往函电均使用中文。供应商可以提交其它语言的资料，但应附中文注释，在有差异时以中文为准。</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bCs/>
        </w:rPr>
        <w:t xml:space="preserve">14.3 </w:t>
      </w:r>
      <w:r>
        <w:rPr>
          <w:rFonts w:hint="eastAsia" w:hAnsi="宋体" w:cs="宋体"/>
        </w:rPr>
        <w:t>计量单位应使用我国法定计量单位，未列明时应默认为我国法定计量单位。</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14.4 响应文件应采用书面形式，电报、传真、电子邮件形式的响应文件概不接受。</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14.5 供应商应按磋商文件中提供的响应文件格式填写。</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15.</w:t>
      </w:r>
      <w:r>
        <w:rPr>
          <w:rFonts w:hint="eastAsia" w:ascii="宋体" w:hAnsi="宋体" w:cs="宋体"/>
          <w:b/>
          <w:szCs w:val="21"/>
        </w:rPr>
        <w:t>响应文件</w:t>
      </w:r>
      <w:r>
        <w:rPr>
          <w:rFonts w:hint="eastAsia" w:ascii="宋体" w:hAnsi="宋体" w:cs="宋体"/>
          <w:b/>
          <w:bCs/>
          <w:szCs w:val="21"/>
        </w:rPr>
        <w:t>的组成</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 xml:space="preserve">15.1 响应文件包括下列内容： </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（1）磋商响应声明</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（2）磋商保证金</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（3）联合体协议</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（4）供应商的资格证明材料</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（5）技术方案</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（6）技术/商务响应与偏离表</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（7）报价一览表及报价文件</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（8）供应商认为需提供的其他资料</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（9）最后报价</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15.2在磋商过程中，供应商根据</w:t>
      </w:r>
      <w:r>
        <w:rPr>
          <w:rFonts w:hint="eastAsia" w:ascii="宋体" w:hAnsi="宋体" w:cs="宋体"/>
          <w:kern w:val="0"/>
          <w:szCs w:val="21"/>
        </w:rPr>
        <w:t>磋商小组</w:t>
      </w:r>
      <w:r>
        <w:rPr>
          <w:rFonts w:hint="eastAsia" w:ascii="宋体" w:hAnsi="宋体" w:cs="宋体"/>
          <w:bCs/>
          <w:szCs w:val="21"/>
        </w:rPr>
        <w:t>规定要求</w:t>
      </w:r>
      <w:r>
        <w:rPr>
          <w:rFonts w:hint="eastAsia" w:ascii="宋体" w:hAnsi="宋体" w:cs="宋体"/>
          <w:kern w:val="0"/>
          <w:szCs w:val="21"/>
        </w:rPr>
        <w:t>提交的</w:t>
      </w:r>
      <w:r>
        <w:rPr>
          <w:rFonts w:hint="eastAsia" w:ascii="宋体" w:hAnsi="宋体" w:cs="宋体"/>
          <w:szCs w:val="21"/>
        </w:rPr>
        <w:t>最后报价(或者</w:t>
      </w:r>
      <w:r>
        <w:rPr>
          <w:rFonts w:hint="eastAsia" w:ascii="宋体" w:hAnsi="宋体" w:cs="宋体"/>
          <w:bCs/>
          <w:szCs w:val="21"/>
        </w:rPr>
        <w:t>重</w:t>
      </w:r>
      <w:r>
        <w:rPr>
          <w:rFonts w:hint="eastAsia" w:ascii="宋体" w:hAnsi="宋体" w:cs="宋体"/>
          <w:kern w:val="0"/>
          <w:szCs w:val="21"/>
        </w:rPr>
        <w:t>新提交的响应文件和</w:t>
      </w:r>
      <w:r>
        <w:rPr>
          <w:rFonts w:hint="eastAsia" w:ascii="宋体" w:hAnsi="宋体" w:cs="宋体"/>
          <w:szCs w:val="21"/>
        </w:rPr>
        <w:t>最后报价)是响应文件的有效组成部分。</w:t>
      </w:r>
    </w:p>
    <w:p>
      <w:pPr>
        <w:adjustRightInd w:val="0"/>
        <w:snapToGrid w:val="0"/>
        <w:spacing w:before="120" w:beforeLines="50" w:after="120" w:afterLines="50" w:line="360" w:lineRule="auto"/>
        <w:ind w:firstLine="420" w:firstLineChars="200"/>
        <w:rPr>
          <w:rFonts w:hint="eastAsia" w:ascii="宋体" w:hAnsi="宋体" w:cs="宋体"/>
          <w:b/>
          <w:szCs w:val="21"/>
        </w:rPr>
      </w:pPr>
      <w:r>
        <w:rPr>
          <w:rFonts w:hint="eastAsia" w:ascii="宋体" w:hAnsi="宋体" w:cs="宋体"/>
          <w:szCs w:val="21"/>
        </w:rPr>
        <w:t>15.3</w:t>
      </w:r>
      <w:r>
        <w:rPr>
          <w:rFonts w:hint="eastAsia" w:ascii="宋体" w:hAnsi="宋体" w:cs="宋体"/>
          <w:kern w:val="0"/>
          <w:szCs w:val="21"/>
        </w:rPr>
        <w:t>磋商文件规定可能发生实质性变动的，供应商应当在</w:t>
      </w:r>
      <w:r>
        <w:rPr>
          <w:rFonts w:hint="eastAsia" w:ascii="宋体" w:hAnsi="宋体" w:cs="宋体"/>
          <w:szCs w:val="21"/>
        </w:rPr>
        <w:t>《技术/商务响应与偏离表》中对应内容注明。</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15.4根据《中华人民共和国政府采购法》第四十二条的规定，供应商无论成交与否，其响应文件不予退还。</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16.报价</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16.1供应商应当根据磋商文件要求和范围，以</w:t>
      </w:r>
      <w:r>
        <w:rPr>
          <w:rFonts w:hint="eastAsia" w:ascii="宋体" w:hAnsi="宋体" w:cs="宋体"/>
          <w:bCs/>
          <w:szCs w:val="21"/>
        </w:rPr>
        <w:t>人民币</w:t>
      </w:r>
      <w:r>
        <w:rPr>
          <w:rFonts w:hint="eastAsia" w:ascii="宋体" w:hAnsi="宋体" w:cs="宋体"/>
          <w:szCs w:val="21"/>
        </w:rPr>
        <w:t>报价，以元为单位，保留小数点后两位。</w:t>
      </w:r>
    </w:p>
    <w:p>
      <w:pPr>
        <w:pStyle w:val="29"/>
        <w:adjustRightInd w:val="0"/>
        <w:snapToGrid w:val="0"/>
        <w:spacing w:before="120" w:beforeLines="50" w:after="120" w:afterLines="50" w:line="360" w:lineRule="auto"/>
        <w:ind w:firstLine="420" w:firstLineChars="200"/>
        <w:rPr>
          <w:rFonts w:hint="eastAsia" w:cs="宋体"/>
        </w:rPr>
      </w:pPr>
      <w:r>
        <w:rPr>
          <w:rFonts w:hint="eastAsia" w:cs="宋体"/>
        </w:rPr>
        <w:t>16.2供应商应按第五章 响应文件组成格式填写。</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16.3响应文件中标明的价格在合同执行过程中是固定不变的，不得以任何理由予以变更。以可变动价格提交的报价将被认为是非实质响应而被拒绝。</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16.4</w:t>
      </w:r>
      <w:r>
        <w:rPr>
          <w:rFonts w:hint="eastAsia" w:hAnsi="宋体" w:cs="宋体"/>
          <w:kern w:val="0"/>
          <w:lang w:val="zh-CN"/>
        </w:rPr>
        <w:t>供应商</w:t>
      </w:r>
      <w:r>
        <w:rPr>
          <w:rFonts w:hint="eastAsia" w:hAnsi="宋体" w:cs="宋体"/>
        </w:rPr>
        <w:t>的报价不得超过采购项目预算，采购项目预算或其计算方法见</w:t>
      </w:r>
      <w:r>
        <w:rPr>
          <w:rFonts w:hint="eastAsia" w:hAnsi="宋体" w:cs="宋体"/>
          <w:b/>
        </w:rPr>
        <w:t>磋商须知前附表</w:t>
      </w:r>
      <w:r>
        <w:rPr>
          <w:rFonts w:hint="eastAsia" w:hAnsi="宋体" w:cs="宋体"/>
        </w:rPr>
        <w:t>。</w:t>
      </w:r>
    </w:p>
    <w:p>
      <w:pPr>
        <w:pStyle w:val="9"/>
        <w:adjustRightInd w:val="0"/>
        <w:snapToGrid w:val="0"/>
        <w:spacing w:before="120" w:beforeLines="50" w:after="120" w:afterLines="50" w:line="360" w:lineRule="auto"/>
        <w:rPr>
          <w:rFonts w:hint="eastAsia" w:hAnsi="宋体" w:cs="宋体"/>
          <w:b/>
        </w:rPr>
      </w:pPr>
      <w:r>
        <w:rPr>
          <w:rFonts w:hint="eastAsia" w:hAnsi="宋体" w:cs="宋体"/>
          <w:b/>
        </w:rPr>
        <w:t>17.供应商符合磋商文件规定的证明文件</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17.1供应商应提交满足本章第3.1款规定的资格条件要求的证明文件,该证明文件作为响应文件的一部分。</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17.2如果供应商为联合体，则应提交联合体各方资格证明文件、联合体协议。否则，在评审时将其视为无效响应。</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17.3 除</w:t>
      </w:r>
      <w:r>
        <w:rPr>
          <w:rFonts w:hint="eastAsia" w:ascii="宋体" w:hAnsi="宋体" w:cs="宋体"/>
          <w:b/>
          <w:szCs w:val="21"/>
        </w:rPr>
        <w:t>磋商须知前附表</w:t>
      </w:r>
      <w:r>
        <w:rPr>
          <w:rFonts w:hint="eastAsia" w:ascii="宋体" w:hAnsi="宋体" w:cs="宋体"/>
          <w:szCs w:val="21"/>
        </w:rPr>
        <w:t>另有规定外，供应商提供的货物及服务不是供应商制造或拥有的，则必须提供经销、或代理采购货物、或采购货物提供售后服务的证明文件。</w:t>
      </w:r>
    </w:p>
    <w:p>
      <w:pPr>
        <w:adjustRightInd w:val="0"/>
        <w:snapToGrid w:val="0"/>
        <w:spacing w:before="120" w:beforeLines="50" w:after="120" w:afterLines="50" w:line="360" w:lineRule="auto"/>
        <w:jc w:val="left"/>
        <w:rPr>
          <w:rFonts w:hint="eastAsia" w:ascii="宋体" w:hAnsi="宋体" w:cs="宋体"/>
          <w:b/>
          <w:szCs w:val="21"/>
        </w:rPr>
      </w:pPr>
      <w:r>
        <w:rPr>
          <w:rFonts w:hint="eastAsia" w:ascii="宋体" w:hAnsi="宋体" w:cs="宋体"/>
          <w:b/>
          <w:szCs w:val="21"/>
        </w:rPr>
        <w:t>18．样品提供（本项目不适用）</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 xml:space="preserve">18.1 </w:t>
      </w:r>
      <w:r>
        <w:rPr>
          <w:rFonts w:hint="eastAsia" w:ascii="宋体" w:hAnsi="宋体" w:cs="宋体"/>
          <w:b/>
          <w:szCs w:val="21"/>
        </w:rPr>
        <w:t>磋商须知前附表</w:t>
      </w:r>
      <w:r>
        <w:rPr>
          <w:rFonts w:hint="eastAsia" w:ascii="宋体" w:hAnsi="宋体" w:cs="宋体"/>
          <w:szCs w:val="21"/>
        </w:rPr>
        <w:t>规定</w:t>
      </w:r>
      <w:r>
        <w:rPr>
          <w:rFonts w:hint="eastAsia" w:ascii="宋体" w:hAnsi="宋体" w:cs="宋体"/>
          <w:bCs/>
          <w:szCs w:val="21"/>
        </w:rPr>
        <w:t>供应商</w:t>
      </w:r>
      <w:r>
        <w:rPr>
          <w:rFonts w:hint="eastAsia" w:ascii="宋体" w:hAnsi="宋体" w:cs="宋体"/>
          <w:szCs w:val="21"/>
        </w:rPr>
        <w:t>在磋商时提供样品的，</w:t>
      </w:r>
      <w:r>
        <w:rPr>
          <w:rFonts w:hint="eastAsia" w:ascii="宋体" w:hAnsi="宋体" w:cs="宋体"/>
          <w:bCs/>
          <w:szCs w:val="21"/>
        </w:rPr>
        <w:t>供应商</w:t>
      </w:r>
      <w:r>
        <w:rPr>
          <w:rFonts w:hint="eastAsia" w:ascii="宋体" w:hAnsi="宋体" w:cs="宋体"/>
          <w:szCs w:val="21"/>
        </w:rPr>
        <w:t>有以下情形之一的，在评审时将其视为无效响应。</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（1）未在</w:t>
      </w:r>
      <w:r>
        <w:rPr>
          <w:rFonts w:hint="eastAsia" w:ascii="宋体" w:hAnsi="宋体" w:cs="宋体"/>
          <w:b/>
          <w:szCs w:val="21"/>
        </w:rPr>
        <w:t>磋商须知前附表</w:t>
      </w:r>
      <w:r>
        <w:rPr>
          <w:rFonts w:hint="eastAsia" w:ascii="宋体" w:hAnsi="宋体" w:cs="宋体"/>
          <w:szCs w:val="21"/>
        </w:rPr>
        <w:t>规定的提交时间、地点提交的；</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（2）</w:t>
      </w:r>
      <w:r>
        <w:rPr>
          <w:rFonts w:hint="eastAsia" w:ascii="宋体" w:hAnsi="宋体" w:cs="宋体"/>
          <w:bCs/>
          <w:szCs w:val="21"/>
        </w:rPr>
        <w:t>供应商</w:t>
      </w:r>
      <w:r>
        <w:rPr>
          <w:rFonts w:hint="eastAsia" w:ascii="宋体" w:hAnsi="宋体" w:cs="宋体"/>
          <w:szCs w:val="21"/>
        </w:rPr>
        <w:t>提供的样品与响应文件中提供样品的型号、规格不一致的。</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19.</w:t>
      </w:r>
      <w:r>
        <w:rPr>
          <w:rFonts w:hint="eastAsia" w:ascii="宋体" w:hAnsi="宋体" w:cs="宋体"/>
          <w:szCs w:val="21"/>
        </w:rPr>
        <w:t xml:space="preserve"> </w:t>
      </w:r>
      <w:r>
        <w:rPr>
          <w:rFonts w:hint="eastAsia" w:ascii="宋体" w:hAnsi="宋体" w:cs="宋体"/>
          <w:b/>
          <w:bCs/>
          <w:szCs w:val="21"/>
        </w:rPr>
        <w:t>磋商保证金</w:t>
      </w:r>
    </w:p>
    <w:p>
      <w:pPr>
        <w:pStyle w:val="9"/>
        <w:adjustRightInd w:val="0"/>
        <w:snapToGrid w:val="0"/>
        <w:spacing w:before="120" w:beforeLines="50" w:after="120" w:afterLines="50" w:line="360" w:lineRule="auto"/>
        <w:ind w:firstLine="420" w:firstLineChars="200"/>
        <w:rPr>
          <w:rFonts w:hint="eastAsia" w:hAnsi="宋体" w:cs="宋体"/>
          <w:bCs/>
        </w:rPr>
      </w:pPr>
      <w:r>
        <w:rPr>
          <w:rFonts w:hint="eastAsia" w:hAnsi="宋体" w:cs="宋体"/>
        </w:rPr>
        <w:t>19.1</w:t>
      </w:r>
      <w:r>
        <w:rPr>
          <w:rFonts w:hint="eastAsia" w:hAnsi="宋体" w:cs="宋体"/>
          <w:b/>
        </w:rPr>
        <w:t>磋商须知前附表</w:t>
      </w:r>
      <w:r>
        <w:rPr>
          <w:rFonts w:hint="eastAsia" w:hAnsi="宋体" w:cs="宋体"/>
        </w:rPr>
        <w:t>规定交纳磋商</w:t>
      </w:r>
      <w:r>
        <w:rPr>
          <w:rFonts w:hint="eastAsia" w:hAnsi="宋体" w:cs="宋体"/>
          <w:bCs/>
        </w:rPr>
        <w:t>保证金的</w:t>
      </w:r>
      <w:r>
        <w:rPr>
          <w:rFonts w:hint="eastAsia" w:hAnsi="宋体" w:cs="宋体"/>
        </w:rPr>
        <w:t>，应按</w:t>
      </w:r>
      <w:r>
        <w:rPr>
          <w:rFonts w:hint="eastAsia" w:hAnsi="宋体" w:cs="宋体"/>
          <w:b/>
        </w:rPr>
        <w:t>磋商须知前附表</w:t>
      </w:r>
      <w:r>
        <w:rPr>
          <w:rFonts w:hint="eastAsia" w:hAnsi="宋体" w:cs="宋体"/>
        </w:rPr>
        <w:t>规定的磋商</w:t>
      </w:r>
      <w:r>
        <w:rPr>
          <w:rFonts w:hint="eastAsia" w:hAnsi="宋体" w:cs="宋体"/>
          <w:bCs/>
        </w:rPr>
        <w:t>保证金形式交纳，不得以现金方式交纳</w:t>
      </w:r>
      <w:r>
        <w:rPr>
          <w:rFonts w:hint="eastAsia" w:hAnsi="宋体" w:cs="宋体"/>
        </w:rPr>
        <w:t>。磋商</w:t>
      </w:r>
      <w:r>
        <w:rPr>
          <w:rFonts w:hint="eastAsia" w:hAnsi="宋体" w:cs="宋体"/>
          <w:bCs/>
        </w:rPr>
        <w:t>保证金有效期应当与</w:t>
      </w:r>
      <w:r>
        <w:rPr>
          <w:rFonts w:hint="eastAsia" w:hAnsi="宋体" w:cs="宋体"/>
        </w:rPr>
        <w:t>本章第20.1</w:t>
      </w:r>
      <w:r>
        <w:rPr>
          <w:rFonts w:hint="eastAsia" w:hAnsi="宋体" w:cs="宋体"/>
          <w:kern w:val="0"/>
          <w:lang w:val="zh-CN"/>
        </w:rPr>
        <w:t>款</w:t>
      </w:r>
      <w:r>
        <w:rPr>
          <w:rFonts w:hint="eastAsia" w:hAnsi="宋体" w:cs="宋体"/>
        </w:rPr>
        <w:t>规定的</w:t>
      </w:r>
      <w:r>
        <w:rPr>
          <w:rFonts w:hint="eastAsia" w:hAnsi="宋体" w:cs="宋体"/>
          <w:bCs/>
        </w:rPr>
        <w:t>响应文件有效期一致。</w:t>
      </w:r>
    </w:p>
    <w:p>
      <w:pPr>
        <w:adjustRightInd w:val="0"/>
        <w:snapToGrid w:val="0"/>
        <w:spacing w:before="120" w:beforeLines="50" w:after="120" w:afterLines="50" w:line="360" w:lineRule="auto"/>
        <w:ind w:firstLine="420" w:firstLineChars="200"/>
        <w:rPr>
          <w:rFonts w:hint="eastAsia" w:ascii="宋体" w:hAnsi="宋体" w:cs="宋体"/>
          <w:b/>
          <w:szCs w:val="21"/>
        </w:rPr>
      </w:pPr>
      <w:r>
        <w:rPr>
          <w:rFonts w:hint="eastAsia" w:ascii="宋体" w:hAnsi="宋体" w:cs="宋体"/>
          <w:szCs w:val="21"/>
        </w:rPr>
        <w:t>19.2</w:t>
      </w:r>
      <w:r>
        <w:rPr>
          <w:rFonts w:hint="eastAsia" w:ascii="宋体" w:hAnsi="宋体" w:cs="宋体"/>
          <w:kern w:val="0"/>
          <w:szCs w:val="21"/>
          <w:lang w:val="zh-CN"/>
        </w:rPr>
        <w:t>供应商为联合体的，可以由联合体中的一方或者共同交纳磋商保证金，其交纳的磋商保证金，对联合体各方均具有约束力。</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19.3供应商未按照磋商文件要求提交磋商保证金的，响应无效。</w:t>
      </w:r>
    </w:p>
    <w:p>
      <w:pPr>
        <w:pStyle w:val="9"/>
        <w:tabs>
          <w:tab w:val="left" w:pos="6300"/>
        </w:tabs>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19.4采购代理机构在成交通知书发出后5个工作日内退还未成交供应商的磋商保证金；在采购合同签定后5个工作日内退还成交供应商的磋商保证金，但因供应商自身原因导致无法及时退还的除外。</w:t>
      </w:r>
    </w:p>
    <w:p>
      <w:pPr>
        <w:pStyle w:val="9"/>
        <w:adjustRightInd w:val="0"/>
        <w:snapToGrid w:val="0"/>
        <w:spacing w:before="120" w:beforeLines="50" w:after="120" w:afterLines="50" w:line="360" w:lineRule="auto"/>
        <w:ind w:firstLine="420" w:firstLineChars="200"/>
        <w:rPr>
          <w:rFonts w:hint="eastAsia" w:hAnsi="宋体" w:cs="宋体"/>
          <w:kern w:val="0"/>
        </w:rPr>
      </w:pPr>
      <w:r>
        <w:rPr>
          <w:rFonts w:hint="eastAsia" w:hAnsi="宋体" w:cs="宋体"/>
        </w:rPr>
        <w:t xml:space="preserve">19.5 </w:t>
      </w:r>
      <w:r>
        <w:rPr>
          <w:rFonts w:hint="eastAsia" w:hAnsi="宋体" w:cs="宋体"/>
          <w:kern w:val="0"/>
        </w:rPr>
        <w:t>有下列情形之一的，磋商保证金不予退还，并上缴本级财政国库：</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（1）供应商在提交首次响应文件截止时间后撤回响应文件的；</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（2）供应商在响应文件中提供虚假资料的；</w:t>
      </w:r>
    </w:p>
    <w:p>
      <w:pPr>
        <w:widowControl/>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kern w:val="0"/>
          <w:szCs w:val="21"/>
        </w:rPr>
        <w:t>（3）</w:t>
      </w:r>
      <w:r>
        <w:rPr>
          <w:rFonts w:hint="eastAsia" w:ascii="宋体" w:hAnsi="宋体" w:cs="宋体"/>
          <w:szCs w:val="21"/>
        </w:rPr>
        <w:t>确定成交结果后，无正当理由放弃成交资格的；</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（4）除因不可抗力或磋商文件认可的情形以外，成交供应商不与采购人签订合同的；</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（5）供应商与采购人、其他供应商或者采购代理机构恶意串通的；</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（6）磋商文件规定的其他情形。</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20.</w:t>
      </w:r>
      <w:r>
        <w:rPr>
          <w:rFonts w:hint="eastAsia" w:ascii="宋体" w:hAnsi="宋体" w:cs="宋体"/>
          <w:szCs w:val="21"/>
        </w:rPr>
        <w:t xml:space="preserve"> </w:t>
      </w:r>
      <w:r>
        <w:rPr>
          <w:rFonts w:hint="eastAsia" w:ascii="宋体" w:hAnsi="宋体" w:cs="宋体"/>
          <w:b/>
          <w:szCs w:val="21"/>
        </w:rPr>
        <w:t>响应文件有效期</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20.1响应文件有效期见</w:t>
      </w:r>
      <w:r>
        <w:rPr>
          <w:rFonts w:hint="eastAsia" w:ascii="宋体" w:hAnsi="宋体" w:cs="宋体"/>
          <w:b/>
          <w:szCs w:val="21"/>
        </w:rPr>
        <w:t>磋商须知前附表</w:t>
      </w:r>
      <w:r>
        <w:rPr>
          <w:rFonts w:hint="eastAsia" w:ascii="宋体" w:hAnsi="宋体" w:cs="宋体"/>
          <w:szCs w:val="21"/>
        </w:rPr>
        <w:t>，在此期间响应文件对供应商具有法律约束力，从</w:t>
      </w:r>
      <w:r>
        <w:rPr>
          <w:rFonts w:hint="eastAsia" w:ascii="宋体" w:hAnsi="宋体" w:cs="宋体"/>
          <w:kern w:val="0"/>
          <w:szCs w:val="21"/>
        </w:rPr>
        <w:t>提交首次响应文件截止时间</w:t>
      </w:r>
      <w:r>
        <w:rPr>
          <w:rFonts w:hint="eastAsia" w:ascii="宋体" w:hAnsi="宋体" w:cs="宋体"/>
          <w:szCs w:val="21"/>
        </w:rPr>
        <w:t>之日起计算。响应文件有效期不足的将被视为无效响应。</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21.响应文件的签署及规定</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21.1响应文件的正本和副本应装订成册，正本一份，副本份数见</w:t>
      </w:r>
      <w:r>
        <w:rPr>
          <w:rFonts w:hint="eastAsia" w:hAnsi="宋体" w:cs="宋体"/>
          <w:b/>
        </w:rPr>
        <w:t>磋商须知前附表</w:t>
      </w:r>
      <w:r>
        <w:rPr>
          <w:rFonts w:hint="eastAsia" w:hAnsi="宋体" w:cs="宋体"/>
        </w:rPr>
        <w:t>。正本和副本的封面上应标记“正本”或“副本”的字样，当正本和副本有差异时，以正本为准。</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21.2 响应文件正本和副本应按磋商文件要求签章处盖单位章和由法定代表人或其委托代理人签字；任何加行、涂改、增删，应有法定代表人或其委托代理人在旁边签字。否则，将导致响应文件无效。</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21.3 在磋商过程中，供应商按磋商文件规定和磋商小组要求</w:t>
      </w:r>
      <w:r>
        <w:rPr>
          <w:rFonts w:hint="eastAsia" w:hAnsi="宋体" w:cs="宋体"/>
          <w:kern w:val="0"/>
        </w:rPr>
        <w:t>提交的</w:t>
      </w:r>
      <w:r>
        <w:rPr>
          <w:rFonts w:hint="eastAsia" w:hAnsi="宋体" w:cs="宋体"/>
        </w:rPr>
        <w:t>最后报价(或者</w:t>
      </w:r>
      <w:r>
        <w:rPr>
          <w:rFonts w:hint="eastAsia" w:hAnsi="宋体" w:cs="宋体"/>
          <w:bCs/>
        </w:rPr>
        <w:t>重</w:t>
      </w:r>
      <w:r>
        <w:rPr>
          <w:rFonts w:hint="eastAsia" w:hAnsi="宋体" w:cs="宋体"/>
          <w:kern w:val="0"/>
        </w:rPr>
        <w:t>新提交的响应文件和</w:t>
      </w:r>
      <w:r>
        <w:rPr>
          <w:rFonts w:hint="eastAsia" w:hAnsi="宋体" w:cs="宋体"/>
        </w:rPr>
        <w:t>最后报价)，一式两份，可打印或用不退色墨水书写，但需经法定代表人或其委托代理人签字，</w:t>
      </w:r>
      <w:r>
        <w:rPr>
          <w:rFonts w:hint="eastAsia" w:hAnsi="宋体" w:cs="宋体"/>
          <w:kern w:val="0"/>
        </w:rPr>
        <w:t>或者加盖供应商单位章</w:t>
      </w:r>
      <w:r>
        <w:rPr>
          <w:rFonts w:hint="eastAsia" w:hAnsi="宋体" w:cs="宋体"/>
        </w:rPr>
        <w:t>。否则，将导致响应文件无效。</w:t>
      </w: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22" w:name="_Toc12583"/>
      <w:bookmarkStart w:id="23" w:name="_Toc19857"/>
      <w:r>
        <w:rPr>
          <w:rFonts w:hint="eastAsia" w:ascii="宋体" w:hAnsi="宋体" w:cs="宋体"/>
          <w:sz w:val="28"/>
          <w:szCs w:val="28"/>
        </w:rPr>
        <w:t>四、响应文件的递交</w:t>
      </w:r>
      <w:bookmarkEnd w:id="22"/>
      <w:bookmarkEnd w:id="23"/>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22.</w:t>
      </w:r>
      <w:r>
        <w:rPr>
          <w:rFonts w:hint="eastAsia" w:ascii="宋体" w:hAnsi="宋体" w:cs="宋体"/>
          <w:b/>
          <w:szCs w:val="21"/>
        </w:rPr>
        <w:t>响应文件</w:t>
      </w:r>
      <w:r>
        <w:rPr>
          <w:rFonts w:hint="eastAsia" w:ascii="宋体" w:hAnsi="宋体" w:cs="宋体"/>
          <w:b/>
          <w:bCs/>
          <w:szCs w:val="21"/>
        </w:rPr>
        <w:t>的密封和标记</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22.1响应文件应密封包装，加贴封条，并在封套的封口处盖供应商单位章或者由法定代表人或其委托代理人签字。</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22.2响应文件封套上应写明的内容见</w:t>
      </w:r>
      <w:r>
        <w:rPr>
          <w:rFonts w:hint="eastAsia" w:ascii="宋体" w:hAnsi="宋体" w:cs="宋体"/>
          <w:b/>
          <w:szCs w:val="21"/>
        </w:rPr>
        <w:t>磋商须知前附表。</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22.3响应文件如果未按上述规定密封和加写标记，采购人或采购代理机构将拒绝接收。</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23.响应文件的</w:t>
      </w:r>
      <w:r>
        <w:rPr>
          <w:rFonts w:hint="eastAsia" w:ascii="宋体" w:hAnsi="宋体" w:cs="宋体"/>
          <w:b/>
          <w:kern w:val="0"/>
          <w:szCs w:val="21"/>
          <w:lang w:val="zh-CN"/>
        </w:rPr>
        <w:t>补充、修改或者撤回</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23.1</w:t>
      </w:r>
      <w:r>
        <w:rPr>
          <w:rFonts w:hint="eastAsia" w:hAnsi="宋体" w:cs="宋体"/>
          <w:kern w:val="0"/>
        </w:rPr>
        <w:t>供应商在提交首次响应文件截止时间前，可以对所提交的首次响应文件进行补充、修改或者撤回，并书面通知采购人、采购代理机构。</w:t>
      </w:r>
      <w:r>
        <w:rPr>
          <w:rFonts w:hint="eastAsia" w:hAnsi="宋体" w:cs="宋体"/>
        </w:rPr>
        <w:t>该通知应有供应商法定代表人或其委托代理人签字。</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23.2</w:t>
      </w:r>
      <w:r>
        <w:rPr>
          <w:rFonts w:hint="eastAsia" w:hAnsi="宋体" w:cs="宋体"/>
          <w:kern w:val="0"/>
          <w:lang w:val="zh-CN"/>
        </w:rPr>
        <w:t>补充、修改的内容与响应文件不一致时，以补充、修改的内容为准。</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24.响应文件的递交与接收</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供应商应在</w:t>
      </w:r>
      <w:r>
        <w:rPr>
          <w:rFonts w:hint="eastAsia" w:ascii="宋体" w:hAnsi="宋体" w:cs="宋体"/>
          <w:kern w:val="0"/>
          <w:szCs w:val="21"/>
        </w:rPr>
        <w:t>提交首次响应文件截止时间</w:t>
      </w:r>
      <w:r>
        <w:rPr>
          <w:rFonts w:hint="eastAsia" w:ascii="宋体" w:hAnsi="宋体" w:cs="宋体"/>
          <w:szCs w:val="21"/>
        </w:rPr>
        <w:t>前，将响应文件按照</w:t>
      </w:r>
      <w:r>
        <w:rPr>
          <w:rFonts w:hint="eastAsia" w:ascii="宋体" w:hAnsi="宋体" w:cs="宋体"/>
          <w:b/>
          <w:szCs w:val="21"/>
        </w:rPr>
        <w:t>磋商须知前附表</w:t>
      </w:r>
      <w:r>
        <w:rPr>
          <w:rFonts w:hint="eastAsia" w:ascii="宋体" w:hAnsi="宋体" w:cs="宋体"/>
          <w:szCs w:val="21"/>
        </w:rPr>
        <w:t>中指定的方式递交。</w:t>
      </w:r>
      <w:r>
        <w:rPr>
          <w:rFonts w:hint="eastAsia" w:ascii="宋体" w:hAnsi="宋体" w:cs="宋体"/>
          <w:kern w:val="0"/>
          <w:szCs w:val="21"/>
        </w:rPr>
        <w:t>在截止时间后送达的响应文件，采购人、采购代理机构或者磋商小组应当拒收。</w:t>
      </w:r>
    </w:p>
    <w:p>
      <w:pPr>
        <w:pStyle w:val="9"/>
        <w:adjustRightInd w:val="0"/>
        <w:snapToGrid w:val="0"/>
        <w:spacing w:before="120" w:beforeLines="50" w:after="120" w:afterLines="50" w:line="360" w:lineRule="auto"/>
        <w:ind w:firstLine="420" w:firstLineChars="200"/>
        <w:rPr>
          <w:rFonts w:hint="eastAsia" w:hAnsi="宋体" w:cs="宋体"/>
        </w:rPr>
      </w:pP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24" w:name="_Toc19308"/>
      <w:bookmarkStart w:id="25" w:name="_Toc31997"/>
      <w:r>
        <w:rPr>
          <w:rFonts w:hint="eastAsia" w:ascii="宋体" w:hAnsi="宋体" w:cs="宋体"/>
          <w:sz w:val="28"/>
          <w:szCs w:val="28"/>
        </w:rPr>
        <w:t>五、响应文件的磋商与评审</w:t>
      </w:r>
      <w:bookmarkEnd w:id="24"/>
      <w:bookmarkEnd w:id="25"/>
    </w:p>
    <w:p>
      <w:pPr>
        <w:tabs>
          <w:tab w:val="left" w:pos="0"/>
        </w:tabs>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25.磋商程序</w:t>
      </w:r>
    </w:p>
    <w:p>
      <w:pPr>
        <w:widowControl/>
        <w:adjustRightInd w:val="0"/>
        <w:snapToGrid w:val="0"/>
        <w:spacing w:before="120" w:beforeLines="50" w:after="120" w:afterLines="50" w:line="360" w:lineRule="auto"/>
        <w:ind w:firstLine="420"/>
        <w:jc w:val="left"/>
        <w:rPr>
          <w:rFonts w:hint="eastAsia" w:ascii="宋体" w:hAnsi="宋体" w:cs="宋体"/>
          <w:bCs/>
          <w:szCs w:val="21"/>
        </w:rPr>
      </w:pPr>
      <w:r>
        <w:rPr>
          <w:rFonts w:hint="eastAsia" w:ascii="宋体" w:hAnsi="宋体" w:cs="宋体"/>
          <w:kern w:val="0"/>
          <w:szCs w:val="21"/>
        </w:rPr>
        <w:t>25.1磋商程序：响应文件审查（资格性审查、初步审查）、磋商（包括澄清）、响应文件评审、</w:t>
      </w:r>
      <w:r>
        <w:rPr>
          <w:rFonts w:hint="eastAsia" w:ascii="宋体" w:hAnsi="宋体" w:cs="宋体"/>
          <w:bCs/>
          <w:szCs w:val="21"/>
        </w:rPr>
        <w:t>提出成交供应商。其中，</w:t>
      </w:r>
      <w:r>
        <w:rPr>
          <w:rFonts w:hint="eastAsia" w:ascii="宋体" w:hAnsi="宋体" w:cs="宋体"/>
          <w:kern w:val="0"/>
          <w:szCs w:val="21"/>
        </w:rPr>
        <w:t>磋商按</w:t>
      </w:r>
      <w:r>
        <w:rPr>
          <w:rFonts w:hint="eastAsia" w:ascii="宋体" w:hAnsi="宋体" w:cs="宋体"/>
          <w:szCs w:val="21"/>
        </w:rPr>
        <w:t>本章第28.1</w:t>
      </w:r>
      <w:r>
        <w:rPr>
          <w:rFonts w:hint="eastAsia" w:ascii="宋体" w:hAnsi="宋体" w:cs="宋体"/>
          <w:kern w:val="0"/>
          <w:szCs w:val="21"/>
          <w:lang w:val="zh-CN"/>
        </w:rPr>
        <w:t>款或者</w:t>
      </w:r>
      <w:r>
        <w:rPr>
          <w:rFonts w:hint="eastAsia" w:ascii="宋体" w:hAnsi="宋体" w:cs="宋体"/>
          <w:szCs w:val="21"/>
        </w:rPr>
        <w:t>第28.2</w:t>
      </w:r>
      <w:r>
        <w:rPr>
          <w:rFonts w:hint="eastAsia" w:ascii="宋体" w:hAnsi="宋体" w:cs="宋体"/>
          <w:kern w:val="0"/>
          <w:szCs w:val="21"/>
          <w:lang w:val="zh-CN"/>
        </w:rPr>
        <w:t>款</w:t>
      </w:r>
      <w:r>
        <w:rPr>
          <w:rFonts w:hint="eastAsia" w:ascii="宋体" w:hAnsi="宋体" w:cs="宋体"/>
          <w:szCs w:val="21"/>
        </w:rPr>
        <w:t>情形</w:t>
      </w:r>
      <w:r>
        <w:rPr>
          <w:rFonts w:hint="eastAsia" w:ascii="宋体" w:hAnsi="宋体" w:cs="宋体"/>
          <w:bCs/>
          <w:szCs w:val="21"/>
        </w:rPr>
        <w:t>进行。</w:t>
      </w:r>
    </w:p>
    <w:p>
      <w:pPr>
        <w:widowControl/>
        <w:adjustRightInd w:val="0"/>
        <w:snapToGrid w:val="0"/>
        <w:spacing w:before="120" w:beforeLines="50" w:after="120" w:afterLines="50" w:line="360" w:lineRule="auto"/>
        <w:rPr>
          <w:rFonts w:hint="eastAsia" w:ascii="宋体" w:hAnsi="宋体" w:cs="宋体"/>
          <w:b/>
          <w:szCs w:val="21"/>
        </w:rPr>
      </w:pPr>
      <w:r>
        <w:rPr>
          <w:rFonts w:hint="eastAsia" w:ascii="宋体" w:hAnsi="宋体" w:cs="宋体"/>
          <w:b/>
          <w:kern w:val="0"/>
          <w:szCs w:val="21"/>
        </w:rPr>
        <w:t>26.</w:t>
      </w:r>
      <w:r>
        <w:rPr>
          <w:rFonts w:hint="eastAsia" w:ascii="宋体" w:hAnsi="宋体" w:cs="宋体"/>
          <w:szCs w:val="21"/>
        </w:rPr>
        <w:t xml:space="preserve"> </w:t>
      </w:r>
      <w:r>
        <w:rPr>
          <w:rFonts w:hint="eastAsia" w:ascii="宋体" w:hAnsi="宋体" w:cs="宋体"/>
          <w:b/>
          <w:kern w:val="0"/>
          <w:szCs w:val="21"/>
        </w:rPr>
        <w:t>响应文件审查</w:t>
      </w:r>
      <w:r>
        <w:rPr>
          <w:rFonts w:hint="eastAsia" w:ascii="宋体" w:hAnsi="宋体" w:cs="宋体"/>
          <w:b/>
          <w:szCs w:val="21"/>
        </w:rPr>
        <w:t xml:space="preserve"> </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26.1 资格性审查：根据本章第3.1项规定的供应商资格条件要求，对响应文件的资格证明等进行审查，以确定供应商是否具备磋商资格条件。</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26.2 初步审查：磋商小组应当对供应商提交的首次响应文件进行初步审查。响应文件有下列情况之一，其响应文件无效，磋商小组应当告知有关供应商。</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（1）应交未交保证金或金额不足、保证金形式不符合磋商文件要求的；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（2）未按照磋商文件规定要求签署、盖章的；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（3）响应文件有效期不足的；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（4）不符合法律、规章、规范性文件和磋商文件规定的。</w:t>
      </w:r>
    </w:p>
    <w:p>
      <w:pPr>
        <w:widowControl/>
        <w:adjustRightInd w:val="0"/>
        <w:snapToGrid w:val="0"/>
        <w:spacing w:before="120" w:beforeLines="50" w:after="120" w:afterLines="50" w:line="360" w:lineRule="auto"/>
        <w:jc w:val="left"/>
        <w:rPr>
          <w:rFonts w:hint="eastAsia" w:ascii="宋体" w:hAnsi="宋体" w:cs="宋体"/>
          <w:b/>
          <w:kern w:val="0"/>
          <w:szCs w:val="21"/>
        </w:rPr>
      </w:pPr>
      <w:r>
        <w:rPr>
          <w:rFonts w:hint="eastAsia" w:ascii="宋体" w:hAnsi="宋体" w:cs="宋体"/>
          <w:b/>
          <w:kern w:val="0"/>
          <w:szCs w:val="21"/>
        </w:rPr>
        <w:t>27.澄清</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27.1 磋商小组在对响应文件的有效性、完整性和对磋商文件的响应程度进行审查时，可以要求供应商对响应文件中含义不明确、同类问题表述不一致或者有明显文字和计算错误的内容等作出必要的澄清、说明或者更正。该要求应当以书面形式作出。供应商的澄清、说明或者更正应当采用书面形式，由其法定代表人或其委托代理人签字或者加盖公章。供应商的澄清、说明或者更正不得超出响应文件的范围或者改变响应文件的实质性内容。</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27.2 最后报价计算错误修正的原则：最后报价的大写金额和小写金额不一致的，以大写金额为准；总价金额与按分项报价汇总金额不一致的，以分项报价金额计算结果为准；分项报价金额小数点有明显错位的，应以总价为准，并修改分项报价。</w:t>
      </w:r>
    </w:p>
    <w:p>
      <w:pPr>
        <w:widowControl/>
        <w:adjustRightInd w:val="0"/>
        <w:snapToGrid w:val="0"/>
        <w:spacing w:before="120" w:beforeLines="50" w:after="120" w:afterLines="50" w:line="360" w:lineRule="auto"/>
        <w:jc w:val="left"/>
        <w:rPr>
          <w:rFonts w:hint="eastAsia" w:ascii="宋体" w:hAnsi="宋体" w:cs="宋体"/>
          <w:b/>
          <w:bCs/>
          <w:kern w:val="0"/>
          <w:szCs w:val="21"/>
        </w:rPr>
      </w:pPr>
      <w:r>
        <w:rPr>
          <w:rFonts w:hint="eastAsia" w:ascii="宋体" w:hAnsi="宋体" w:cs="宋体"/>
          <w:b/>
          <w:bCs/>
          <w:kern w:val="0"/>
          <w:szCs w:val="21"/>
        </w:rPr>
        <w:t>28.磋商</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28.1</w:t>
      </w:r>
      <w:r>
        <w:rPr>
          <w:rFonts w:hint="eastAsia" w:ascii="宋体" w:hAnsi="宋体" w:cs="宋体"/>
          <w:szCs w:val="21"/>
        </w:rPr>
        <w:t>磋商小组所有成员集中与单一供应商分别进行磋商，并给予所有参加磋商的供应商平等的磋商机会。供应商应派其法定代表人或委托代理人参加磋商。本章第10.2项</w:t>
      </w:r>
      <w:r>
        <w:rPr>
          <w:rFonts w:hint="eastAsia" w:ascii="宋体" w:hAnsi="宋体" w:cs="宋体"/>
          <w:kern w:val="0"/>
          <w:szCs w:val="21"/>
        </w:rPr>
        <w:t>未明确磋商文件实质性变动内容的，或者磋商文件明确了可能发生实质性变动内容，但在磋商过程中，</w:t>
      </w:r>
      <w:r>
        <w:rPr>
          <w:rFonts w:hint="eastAsia" w:ascii="宋体" w:hAnsi="宋体" w:cs="宋体"/>
          <w:szCs w:val="21"/>
        </w:rPr>
        <w:t>磋商小组</w:t>
      </w:r>
      <w:r>
        <w:rPr>
          <w:rFonts w:hint="eastAsia" w:ascii="宋体" w:hAnsi="宋体" w:cs="宋体"/>
          <w:kern w:val="0"/>
          <w:szCs w:val="21"/>
        </w:rPr>
        <w:t>根据磋商情况</w:t>
      </w:r>
      <w:r>
        <w:rPr>
          <w:rFonts w:hint="eastAsia" w:ascii="宋体" w:hAnsi="宋体" w:cs="宋体"/>
          <w:szCs w:val="21"/>
        </w:rPr>
        <w:t>认为</w:t>
      </w:r>
      <w:r>
        <w:rPr>
          <w:rFonts w:hint="eastAsia" w:ascii="宋体" w:hAnsi="宋体" w:cs="宋体"/>
          <w:kern w:val="0"/>
          <w:szCs w:val="21"/>
        </w:rPr>
        <w:t>磋商文件无需发生实质性变动的，磋商小组应当直接与响应文件审查合格的供应商就价格组织多轮磋商。</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（1）磋商结束后，磋商小组应当要求所有继续参加磋商的供应商在磋商小组规定时间内以规定的方式提交最后报价。</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（2）磋商文件明确可能发生实质性变动，但在磋商过程中</w:t>
      </w:r>
      <w:r>
        <w:rPr>
          <w:rFonts w:hint="eastAsia" w:ascii="宋体" w:hAnsi="宋体" w:cs="宋体"/>
          <w:szCs w:val="21"/>
        </w:rPr>
        <w:t>磋商小组</w:t>
      </w:r>
      <w:r>
        <w:rPr>
          <w:rFonts w:hint="eastAsia" w:ascii="宋体" w:hAnsi="宋体" w:cs="宋体"/>
          <w:kern w:val="0"/>
          <w:szCs w:val="21"/>
        </w:rPr>
        <w:t>根据磋商情况</w:t>
      </w:r>
      <w:r>
        <w:rPr>
          <w:rFonts w:hint="eastAsia" w:ascii="宋体" w:hAnsi="宋体" w:cs="宋体"/>
          <w:szCs w:val="21"/>
        </w:rPr>
        <w:t>认为</w:t>
      </w:r>
      <w:r>
        <w:rPr>
          <w:rFonts w:hint="eastAsia" w:ascii="宋体" w:hAnsi="宋体" w:cs="宋体"/>
          <w:kern w:val="0"/>
          <w:szCs w:val="21"/>
        </w:rPr>
        <w:t>磋商文件无需发生实质性变动的，磋商小组不另行通知。</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28.2</w:t>
      </w:r>
      <w:r>
        <w:rPr>
          <w:rFonts w:hint="eastAsia" w:ascii="宋体" w:hAnsi="宋体" w:cs="宋体"/>
          <w:szCs w:val="21"/>
        </w:rPr>
        <w:t>本章第10.2</w:t>
      </w:r>
      <w:r>
        <w:rPr>
          <w:rFonts w:hint="eastAsia" w:ascii="宋体" w:hAnsi="宋体" w:cs="宋体"/>
          <w:kern w:val="0"/>
          <w:szCs w:val="21"/>
        </w:rPr>
        <w:t>款明确磋商文件实质性变动内容的，</w:t>
      </w:r>
      <w:r>
        <w:rPr>
          <w:rFonts w:hint="eastAsia" w:ascii="宋体" w:hAnsi="宋体" w:cs="宋体"/>
          <w:szCs w:val="21"/>
        </w:rPr>
        <w:t>磋商小组</w:t>
      </w:r>
      <w:r>
        <w:rPr>
          <w:rFonts w:hint="eastAsia" w:ascii="宋体" w:hAnsi="宋体" w:cs="宋体"/>
          <w:kern w:val="0"/>
          <w:szCs w:val="21"/>
        </w:rPr>
        <w:t>可以组织多轮磋商。</w:t>
      </w:r>
      <w:r>
        <w:rPr>
          <w:rFonts w:hint="eastAsia" w:ascii="宋体" w:hAnsi="宋体" w:cs="宋体"/>
          <w:szCs w:val="21"/>
        </w:rPr>
        <w:t>在每一轮磋商中，磋商小组</w:t>
      </w:r>
      <w:r>
        <w:rPr>
          <w:rFonts w:hint="eastAsia" w:ascii="宋体" w:hAnsi="宋体" w:cs="宋体"/>
          <w:kern w:val="0"/>
          <w:szCs w:val="21"/>
        </w:rPr>
        <w:t>可以根据磋商文件规定和磋商情况，</w:t>
      </w:r>
      <w:r>
        <w:rPr>
          <w:rFonts w:hint="eastAsia" w:ascii="宋体" w:hAnsi="宋体" w:cs="宋体"/>
          <w:szCs w:val="21"/>
        </w:rPr>
        <w:t>对磋商文件的</w:t>
      </w:r>
      <w:r>
        <w:rPr>
          <w:rFonts w:hint="eastAsia" w:ascii="宋体" w:hAnsi="宋体" w:cs="宋体"/>
          <w:kern w:val="0"/>
          <w:szCs w:val="21"/>
        </w:rPr>
        <w:t>服务需求中的技术、服务要求以及合同草案条款</w:t>
      </w:r>
      <w:r>
        <w:rPr>
          <w:rFonts w:hint="eastAsia" w:ascii="宋体" w:hAnsi="宋体" w:cs="宋体"/>
          <w:szCs w:val="21"/>
        </w:rPr>
        <w:t>作实质性变动(磋商文件的实质性变动内容为磋商文件的组成部分)，并以书面形式要求</w:t>
      </w:r>
      <w:r>
        <w:rPr>
          <w:rFonts w:hint="eastAsia" w:ascii="宋体" w:hAnsi="宋体" w:cs="宋体"/>
          <w:kern w:val="0"/>
          <w:szCs w:val="21"/>
        </w:rPr>
        <w:t>响应文件审查合格</w:t>
      </w:r>
      <w:r>
        <w:rPr>
          <w:rFonts w:hint="eastAsia" w:ascii="宋体" w:hAnsi="宋体" w:cs="宋体"/>
          <w:szCs w:val="21"/>
        </w:rPr>
        <w:t>的供应商，在规定的</w:t>
      </w:r>
      <w:r>
        <w:rPr>
          <w:rFonts w:hint="eastAsia" w:ascii="宋体" w:hAnsi="宋体" w:cs="宋体"/>
          <w:kern w:val="0"/>
          <w:szCs w:val="21"/>
        </w:rPr>
        <w:t>截止时间前</w:t>
      </w:r>
      <w:r>
        <w:rPr>
          <w:rFonts w:hint="eastAsia" w:ascii="宋体" w:hAnsi="宋体" w:cs="宋体"/>
          <w:szCs w:val="21"/>
        </w:rPr>
        <w:t>重</w:t>
      </w:r>
      <w:r>
        <w:rPr>
          <w:rFonts w:hint="eastAsia" w:ascii="宋体" w:hAnsi="宋体" w:cs="宋体"/>
          <w:kern w:val="0"/>
          <w:szCs w:val="21"/>
        </w:rPr>
        <w:t>新提交响应文件</w:t>
      </w:r>
      <w:r>
        <w:rPr>
          <w:rFonts w:hint="eastAsia" w:ascii="宋体" w:hAnsi="宋体" w:cs="宋体"/>
          <w:szCs w:val="21"/>
        </w:rPr>
        <w:t>。</w:t>
      </w:r>
      <w:r>
        <w:rPr>
          <w:rFonts w:hint="eastAsia" w:ascii="宋体" w:hAnsi="宋体" w:cs="宋体"/>
          <w:kern w:val="0"/>
          <w:szCs w:val="21"/>
        </w:rPr>
        <w:t>磋商小组应当</w:t>
      </w:r>
      <w:r>
        <w:rPr>
          <w:rFonts w:hint="eastAsia" w:ascii="宋体" w:hAnsi="宋体" w:cs="宋体"/>
          <w:szCs w:val="21"/>
        </w:rPr>
        <w:t>根据本章第26.2</w:t>
      </w:r>
      <w:r>
        <w:rPr>
          <w:rFonts w:hint="eastAsia" w:ascii="宋体" w:hAnsi="宋体" w:cs="宋体"/>
          <w:kern w:val="0"/>
          <w:szCs w:val="21"/>
        </w:rPr>
        <w:t>款</w:t>
      </w:r>
      <w:r>
        <w:rPr>
          <w:rFonts w:hint="eastAsia" w:ascii="宋体" w:hAnsi="宋体" w:cs="宋体"/>
          <w:szCs w:val="21"/>
        </w:rPr>
        <w:t>规定</w:t>
      </w:r>
      <w:r>
        <w:rPr>
          <w:rFonts w:hint="eastAsia" w:ascii="宋体" w:hAnsi="宋体" w:cs="宋体"/>
          <w:kern w:val="0"/>
          <w:szCs w:val="21"/>
        </w:rPr>
        <w:t>对供应商重新提交的响应文件进行审查。供应商重新提交的响应文件审查不合格的，不得进入下一轮磋商，也不得要求提交最后报价。</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kern w:val="0"/>
          <w:szCs w:val="21"/>
        </w:rPr>
        <w:t>（1）磋商文件能够详细列明服务需求的技术、服务要求的，磋商结束后，磋商小组应当要求所有继续参加磋商的供应商在规定时间内提交最后报价。</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磋商文件不能详细列明服务需求的技术、服务要求，需经磋商由供应商提供最终设计方案或解决方案的，磋商结束后，磋商小组应当按照少数服从多数的原则投票推荐3家以上供应商的设计方案或者解决方案，并要求其在规定时间内提交最后报价。</w:t>
      </w:r>
    </w:p>
    <w:p>
      <w:pPr>
        <w:widowControl/>
        <w:adjustRightInd w:val="0"/>
        <w:snapToGrid w:val="0"/>
        <w:spacing w:before="120" w:beforeLines="50" w:after="120" w:afterLines="50" w:line="360" w:lineRule="auto"/>
        <w:ind w:firstLine="420"/>
        <w:jc w:val="left"/>
        <w:rPr>
          <w:rFonts w:hint="eastAsia" w:ascii="宋体" w:hAnsi="宋体" w:cs="宋体"/>
          <w:szCs w:val="21"/>
        </w:rPr>
      </w:pPr>
      <w:r>
        <w:rPr>
          <w:rFonts w:hint="eastAsia" w:ascii="宋体" w:hAnsi="宋体" w:cs="宋体"/>
          <w:szCs w:val="21"/>
        </w:rPr>
        <w:t>28.3 重</w:t>
      </w:r>
      <w:r>
        <w:rPr>
          <w:rFonts w:hint="eastAsia" w:ascii="宋体" w:hAnsi="宋体" w:cs="宋体"/>
          <w:kern w:val="0"/>
          <w:szCs w:val="21"/>
        </w:rPr>
        <w:t>新提交的响应文件</w:t>
      </w:r>
      <w:r>
        <w:rPr>
          <w:rFonts w:hint="eastAsia" w:ascii="宋体" w:hAnsi="宋体" w:cs="宋体"/>
          <w:szCs w:val="21"/>
        </w:rPr>
        <w:t>或者最后报价应按</w:t>
      </w:r>
      <w:r>
        <w:rPr>
          <w:rFonts w:hint="eastAsia" w:ascii="宋体" w:hAnsi="宋体" w:cs="宋体"/>
          <w:kern w:val="0"/>
          <w:szCs w:val="21"/>
        </w:rPr>
        <w:t>本章第</w:t>
      </w:r>
      <w:r>
        <w:rPr>
          <w:rFonts w:hint="eastAsia" w:ascii="宋体" w:hAnsi="宋体" w:cs="宋体"/>
          <w:szCs w:val="21"/>
        </w:rPr>
        <w:t>21.3</w:t>
      </w:r>
      <w:r>
        <w:rPr>
          <w:rFonts w:hint="eastAsia" w:ascii="宋体" w:hAnsi="宋体" w:cs="宋体"/>
          <w:kern w:val="0"/>
          <w:szCs w:val="21"/>
        </w:rPr>
        <w:t>款</w:t>
      </w:r>
      <w:r>
        <w:rPr>
          <w:rFonts w:hint="eastAsia" w:ascii="宋体" w:hAnsi="宋体" w:cs="宋体"/>
          <w:szCs w:val="21"/>
        </w:rPr>
        <w:t>规定，</w:t>
      </w:r>
      <w:r>
        <w:rPr>
          <w:rFonts w:hint="eastAsia" w:ascii="宋体" w:hAnsi="宋体" w:cs="宋体"/>
          <w:kern w:val="0"/>
          <w:szCs w:val="21"/>
        </w:rPr>
        <w:t>由其法定代表人或其委托代理人签字或者加盖供应商单位章，在规定时间内密封递交给磋商小组</w:t>
      </w:r>
      <w:r>
        <w:rPr>
          <w:rFonts w:hint="eastAsia" w:ascii="宋体" w:hAnsi="宋体" w:cs="宋体"/>
          <w:szCs w:val="21"/>
        </w:rPr>
        <w:t>。</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28.4供应商的</w:t>
      </w:r>
      <w:r>
        <w:rPr>
          <w:rFonts w:hint="eastAsia" w:ascii="宋体" w:hAnsi="宋体" w:cs="宋体"/>
          <w:szCs w:val="21"/>
        </w:rPr>
        <w:t>最</w:t>
      </w:r>
      <w:r>
        <w:rPr>
          <w:rFonts w:hint="eastAsia" w:ascii="宋体" w:hAnsi="宋体" w:cs="宋体"/>
          <w:kern w:val="0"/>
          <w:szCs w:val="21"/>
        </w:rPr>
        <w:t>后</w:t>
      </w:r>
      <w:r>
        <w:rPr>
          <w:rFonts w:hint="eastAsia" w:ascii="宋体" w:hAnsi="宋体" w:cs="宋体"/>
          <w:szCs w:val="21"/>
        </w:rPr>
        <w:t>报价</w:t>
      </w:r>
      <w:r>
        <w:rPr>
          <w:rFonts w:hint="eastAsia" w:ascii="宋体" w:hAnsi="宋体" w:cs="宋体"/>
          <w:kern w:val="0"/>
          <w:szCs w:val="21"/>
        </w:rPr>
        <w:t>，磋商小组应召集所有参加最后报价的供应商当场开封</w:t>
      </w:r>
      <w:r>
        <w:rPr>
          <w:rFonts w:hint="eastAsia" w:ascii="宋体" w:hAnsi="宋体" w:cs="宋体"/>
          <w:szCs w:val="21"/>
        </w:rPr>
        <w:t>公布，并由供应商代表签字确认。</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28.5提交首次响应文件的供应商，在提交最后报价之前，可以根据磋商情况退出磋商，并书面通知采购代理机构或者磋商小组。</w:t>
      </w:r>
      <w:r>
        <w:rPr>
          <w:rFonts w:hint="eastAsia" w:ascii="宋体" w:hAnsi="宋体" w:cs="宋体"/>
          <w:szCs w:val="21"/>
        </w:rPr>
        <w:t>该通知由供应商法定代表人或其委托代理人签字。</w:t>
      </w:r>
      <w:r>
        <w:rPr>
          <w:rFonts w:hint="eastAsia" w:ascii="宋体" w:hAnsi="宋体" w:cs="宋体"/>
          <w:kern w:val="0"/>
          <w:szCs w:val="21"/>
        </w:rPr>
        <w:t>采购代理机构按本章第</w:t>
      </w:r>
      <w:r>
        <w:rPr>
          <w:rFonts w:hint="eastAsia" w:ascii="宋体" w:hAnsi="宋体" w:cs="宋体"/>
          <w:szCs w:val="21"/>
        </w:rPr>
        <w:t>19.4</w:t>
      </w:r>
      <w:r>
        <w:rPr>
          <w:rFonts w:hint="eastAsia" w:ascii="宋体" w:hAnsi="宋体" w:cs="宋体"/>
          <w:kern w:val="0"/>
          <w:szCs w:val="21"/>
        </w:rPr>
        <w:t>款</w:t>
      </w:r>
      <w:r>
        <w:rPr>
          <w:rFonts w:hint="eastAsia" w:ascii="宋体" w:hAnsi="宋体" w:cs="宋体"/>
          <w:szCs w:val="21"/>
        </w:rPr>
        <w:t>规定</w:t>
      </w:r>
      <w:r>
        <w:rPr>
          <w:rFonts w:hint="eastAsia" w:ascii="宋体" w:hAnsi="宋体" w:cs="宋体"/>
          <w:kern w:val="0"/>
          <w:szCs w:val="21"/>
        </w:rPr>
        <w:t>退还退出磋商的供应商的磋商保证金。</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szCs w:val="21"/>
        </w:rPr>
        <w:t>28.6</w:t>
      </w:r>
      <w:r>
        <w:rPr>
          <w:rFonts w:hint="eastAsia" w:ascii="宋体" w:hAnsi="宋体" w:cs="宋体"/>
          <w:kern w:val="0"/>
          <w:szCs w:val="21"/>
        </w:rPr>
        <w:t>提交首次响应文件的供应商，未按磋商文件规定及磋商小组要求提交最后报价(或者</w:t>
      </w:r>
      <w:r>
        <w:rPr>
          <w:rFonts w:hint="eastAsia" w:ascii="宋体" w:hAnsi="宋体" w:cs="宋体"/>
          <w:szCs w:val="21"/>
        </w:rPr>
        <w:t>重</w:t>
      </w:r>
      <w:r>
        <w:rPr>
          <w:rFonts w:hint="eastAsia" w:ascii="宋体" w:hAnsi="宋体" w:cs="宋体"/>
          <w:kern w:val="0"/>
          <w:szCs w:val="21"/>
        </w:rPr>
        <w:t>新提交的响应文件和最后报价)，且又未按本章第28</w:t>
      </w:r>
      <w:r>
        <w:rPr>
          <w:rFonts w:hint="eastAsia" w:ascii="宋体" w:hAnsi="宋体" w:cs="宋体"/>
          <w:szCs w:val="21"/>
        </w:rPr>
        <w:t>.5</w:t>
      </w:r>
      <w:r>
        <w:rPr>
          <w:rFonts w:hint="eastAsia" w:ascii="宋体" w:hAnsi="宋体" w:cs="宋体"/>
          <w:kern w:val="0"/>
          <w:szCs w:val="21"/>
        </w:rPr>
        <w:t>款</w:t>
      </w:r>
      <w:r>
        <w:rPr>
          <w:rFonts w:hint="eastAsia" w:ascii="宋体" w:hAnsi="宋体" w:cs="宋体"/>
          <w:szCs w:val="21"/>
        </w:rPr>
        <w:t>规定</w:t>
      </w:r>
      <w:r>
        <w:rPr>
          <w:rFonts w:hint="eastAsia" w:ascii="宋体" w:hAnsi="宋体" w:cs="宋体"/>
          <w:kern w:val="0"/>
          <w:szCs w:val="21"/>
        </w:rPr>
        <w:t>退出磋商的，供应商的磋商保证金不予退还。</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28.7磋商文件在磋商过程中未发生实质性变动的，参加磋商供应商的次轮报价不得高于上轮报价，否则视为无效响应。</w:t>
      </w:r>
    </w:p>
    <w:p>
      <w:pPr>
        <w:adjustRightInd w:val="0"/>
        <w:snapToGrid w:val="0"/>
        <w:spacing w:before="240" w:beforeLines="100" w:line="360" w:lineRule="auto"/>
        <w:rPr>
          <w:rFonts w:hint="eastAsia" w:ascii="宋体" w:hAnsi="宋体" w:cs="宋体"/>
          <w:szCs w:val="21"/>
        </w:rPr>
      </w:pPr>
      <w:r>
        <w:rPr>
          <w:rFonts w:hint="eastAsia" w:ascii="宋体" w:hAnsi="宋体" w:cs="宋体"/>
          <w:b/>
          <w:kern w:val="0"/>
          <w:szCs w:val="21"/>
        </w:rPr>
        <w:t>29.</w:t>
      </w:r>
      <w:r>
        <w:rPr>
          <w:rFonts w:hint="eastAsia" w:ascii="宋体" w:hAnsi="宋体" w:cs="宋体"/>
          <w:b/>
          <w:bCs/>
          <w:szCs w:val="21"/>
        </w:rPr>
        <w:t>符合性审查</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szCs w:val="21"/>
        </w:rPr>
        <w:t>29.1</w:t>
      </w:r>
      <w:r>
        <w:rPr>
          <w:rFonts w:hint="eastAsia" w:ascii="宋体" w:hAnsi="宋体" w:cs="宋体"/>
          <w:kern w:val="0"/>
          <w:szCs w:val="21"/>
        </w:rPr>
        <w:t>对响应文件(包括</w:t>
      </w:r>
      <w:r>
        <w:rPr>
          <w:rFonts w:hint="eastAsia" w:ascii="宋体" w:hAnsi="宋体" w:cs="宋体"/>
          <w:kern w:val="0"/>
        </w:rPr>
        <w:t>首次</w:t>
      </w:r>
      <w:r>
        <w:rPr>
          <w:rFonts w:hint="eastAsia" w:ascii="宋体" w:hAnsi="宋体" w:cs="宋体"/>
        </w:rPr>
        <w:t>提交的</w:t>
      </w:r>
      <w:r>
        <w:rPr>
          <w:rFonts w:hint="eastAsia" w:ascii="宋体" w:hAnsi="宋体" w:cs="宋体"/>
          <w:kern w:val="0"/>
          <w:szCs w:val="21"/>
        </w:rPr>
        <w:t>响应文件、重新提交的响应文件)的符合性审查。磋商小组应当对响应文件进行符合性审查，供应商响应文件有下列情况之一，其响应文件无效（供应商不参加磋商），磋商小组应当告知有关供应商：</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kern w:val="0"/>
          <w:szCs w:val="21"/>
        </w:rPr>
        <w:t>（1）不满足本章第30.1款规定的实质性要求的；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kern w:val="0"/>
          <w:szCs w:val="21"/>
        </w:rPr>
        <w:t>（2）不符合法律、规章、</w:t>
      </w:r>
      <w:r>
        <w:rPr>
          <w:rFonts w:hint="eastAsia" w:ascii="宋体" w:hAnsi="宋体" w:cs="宋体"/>
          <w:szCs w:val="21"/>
        </w:rPr>
        <w:t>规范性文件和磋商文件规定的</w:t>
      </w:r>
      <w:r>
        <w:rPr>
          <w:rFonts w:hint="eastAsia" w:ascii="宋体" w:hAnsi="宋体" w:cs="宋体"/>
          <w:kern w:val="0"/>
          <w:szCs w:val="21"/>
        </w:rPr>
        <w:t>。</w:t>
      </w:r>
    </w:p>
    <w:p>
      <w:pPr>
        <w:pStyle w:val="9"/>
        <w:adjustRightInd w:val="0"/>
        <w:snapToGrid w:val="0"/>
        <w:spacing w:before="120" w:beforeLines="50" w:after="120" w:afterLines="50" w:line="360" w:lineRule="auto"/>
        <w:rPr>
          <w:rFonts w:hint="eastAsia" w:hAnsi="宋体" w:cs="宋体"/>
          <w:b/>
          <w:kern w:val="0"/>
        </w:rPr>
      </w:pPr>
      <w:r>
        <w:rPr>
          <w:rFonts w:hint="eastAsia" w:hAnsi="宋体" w:cs="宋体"/>
          <w:b/>
          <w:kern w:val="0"/>
        </w:rPr>
        <w:t>30.实质性响应</w:t>
      </w:r>
    </w:p>
    <w:p>
      <w:pPr>
        <w:pStyle w:val="9"/>
        <w:adjustRightInd w:val="0"/>
        <w:snapToGrid w:val="0"/>
        <w:spacing w:before="120" w:beforeLines="50" w:after="120" w:afterLines="50" w:line="360" w:lineRule="auto"/>
        <w:ind w:firstLine="420" w:firstLineChars="200"/>
        <w:rPr>
          <w:rFonts w:hint="eastAsia" w:hAnsi="宋体" w:cs="宋体"/>
          <w:kern w:val="0"/>
          <w:u w:val="single"/>
        </w:rPr>
      </w:pPr>
      <w:r>
        <w:rPr>
          <w:rFonts w:hint="eastAsia" w:hAnsi="宋体" w:cs="宋体"/>
          <w:kern w:val="0"/>
        </w:rPr>
        <w:t>30.1</w:t>
      </w:r>
      <w:r>
        <w:rPr>
          <w:rFonts w:hint="eastAsia" w:hAnsi="宋体" w:cs="宋体"/>
        </w:rPr>
        <w:t>实质性响应是指响应文件(包括首次响应文件、重新提交的响应文件)与磋商文件要求的所有条款、条件和规格相符，没有偏离。偏离指不满足、或不响应磋商文件的要求。</w:t>
      </w:r>
    </w:p>
    <w:p>
      <w:pPr>
        <w:tabs>
          <w:tab w:val="left" w:pos="0"/>
          <w:tab w:val="left" w:pos="7560"/>
          <w:tab w:val="left" w:pos="7740"/>
          <w:tab w:val="left" w:pos="7920"/>
        </w:tabs>
        <w:adjustRightInd w:val="0"/>
        <w:snapToGrid w:val="0"/>
        <w:spacing w:before="120" w:beforeLines="50" w:after="120" w:afterLines="50" w:line="360" w:lineRule="auto"/>
        <w:ind w:right="23" w:rightChars="11" w:firstLine="420" w:firstLineChars="200"/>
        <w:rPr>
          <w:rFonts w:hint="eastAsia" w:ascii="宋体" w:hAnsi="宋体" w:cs="宋体"/>
          <w:szCs w:val="21"/>
        </w:rPr>
      </w:pPr>
      <w:r>
        <w:rPr>
          <w:rFonts w:hint="eastAsia" w:ascii="宋体" w:hAnsi="宋体" w:cs="宋体"/>
          <w:szCs w:val="21"/>
        </w:rPr>
        <w:t>30.2响应文件是否实质性响应磋商文件要求由磋商小组依据磋商文件规定认定。</w:t>
      </w:r>
      <w:r>
        <w:rPr>
          <w:rFonts w:hint="eastAsia" w:ascii="宋体" w:hAnsi="宋体" w:cs="宋体"/>
          <w:kern w:val="0"/>
          <w:szCs w:val="21"/>
        </w:rPr>
        <w:t>磋商小组</w:t>
      </w:r>
      <w:r>
        <w:rPr>
          <w:rFonts w:hint="eastAsia" w:ascii="宋体" w:hAnsi="宋体" w:cs="宋体"/>
          <w:szCs w:val="21"/>
        </w:rPr>
        <w:t>决定响应文件的响应性只根据响应文件本身的真实无误的内容，而不依据外部的证据。</w:t>
      </w:r>
    </w:p>
    <w:p>
      <w:pPr>
        <w:pStyle w:val="9"/>
        <w:adjustRightInd w:val="0"/>
        <w:snapToGrid w:val="0"/>
        <w:spacing w:before="120" w:beforeLines="50" w:after="120" w:afterLines="50" w:line="360" w:lineRule="auto"/>
        <w:rPr>
          <w:rFonts w:hint="eastAsia" w:hAnsi="宋体" w:cs="宋体"/>
          <w:b/>
          <w:kern w:val="0"/>
        </w:rPr>
      </w:pPr>
      <w:r>
        <w:rPr>
          <w:rFonts w:hint="eastAsia" w:hAnsi="宋体" w:cs="宋体"/>
          <w:b/>
          <w:kern w:val="0"/>
        </w:rPr>
        <w:t xml:space="preserve">31.无效响应 </w:t>
      </w:r>
    </w:p>
    <w:p>
      <w:pPr>
        <w:pStyle w:val="9"/>
        <w:adjustRightInd w:val="0"/>
        <w:snapToGrid w:val="0"/>
        <w:spacing w:before="120" w:beforeLines="50" w:after="120" w:afterLines="50" w:line="360" w:lineRule="auto"/>
        <w:ind w:firstLine="411" w:firstLineChars="196"/>
        <w:rPr>
          <w:rFonts w:hint="eastAsia" w:hAnsi="宋体" w:cs="宋体"/>
          <w:b/>
          <w:kern w:val="0"/>
        </w:rPr>
      </w:pPr>
      <w:r>
        <w:rPr>
          <w:rFonts w:hint="eastAsia" w:hAnsi="宋体" w:cs="宋体"/>
          <w:kern w:val="0"/>
        </w:rPr>
        <w:t>31.1</w:t>
      </w:r>
      <w:r>
        <w:rPr>
          <w:rFonts w:hint="eastAsia" w:hAnsi="宋体" w:cs="宋体"/>
        </w:rPr>
        <w:t>磋商小组在对资格性和符合性进行审查时，有下列情况之一的，属无效响应，</w:t>
      </w:r>
      <w:r>
        <w:rPr>
          <w:rFonts w:hint="eastAsia" w:hAnsi="宋体" w:cs="宋体"/>
          <w:kern w:val="0"/>
        </w:rPr>
        <w:t>磋商小组应当告知有关供应商</w:t>
      </w:r>
      <w:r>
        <w:rPr>
          <w:rFonts w:hint="eastAsia" w:hAnsi="宋体" w:cs="宋体"/>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（1）供应商不具备本章第3.1款规定的供应商资格条件要求，或存在本章第3.3款情形的；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（2）联合体不符合本章第3.2款规定的；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（3）应交未交磋商保证金或金额不足、磋商保证金缴纳形式不符合磋商文件要求的；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（4）响应文件未按照磋商文件要求签署、盖章的；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（4）响应文件不满足本章第27.1款规定的实质性要求的；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（5）报价超过采购项目预算的；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（6）响应文件有效期不足的；</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（7）响应文件不符合法律、规章、规范性文件和磋商文件规定及要求的。</w:t>
      </w:r>
    </w:p>
    <w:p>
      <w:pPr>
        <w:widowControl/>
        <w:adjustRightInd w:val="0"/>
        <w:snapToGrid w:val="0"/>
        <w:spacing w:before="120" w:beforeLines="50" w:after="120" w:afterLines="50" w:line="360" w:lineRule="auto"/>
        <w:jc w:val="left"/>
        <w:rPr>
          <w:rFonts w:hint="eastAsia" w:ascii="宋体" w:hAnsi="宋体" w:cs="宋体"/>
          <w:b/>
          <w:bCs/>
          <w:szCs w:val="21"/>
        </w:rPr>
      </w:pPr>
      <w:r>
        <w:rPr>
          <w:rFonts w:hint="eastAsia" w:ascii="宋体" w:hAnsi="宋体" w:cs="宋体"/>
          <w:b/>
          <w:kern w:val="0"/>
          <w:szCs w:val="21"/>
        </w:rPr>
        <w:t>32.响应文件评审</w:t>
      </w:r>
    </w:p>
    <w:p>
      <w:pPr>
        <w:widowControl/>
        <w:adjustRightInd w:val="0"/>
        <w:snapToGrid w:val="0"/>
        <w:spacing w:before="120" w:beforeLines="50" w:after="120" w:afterLines="50" w:line="360" w:lineRule="auto"/>
        <w:ind w:firstLine="420" w:firstLineChars="200"/>
        <w:jc w:val="left"/>
        <w:rPr>
          <w:rFonts w:hint="eastAsia" w:ascii="宋体" w:hAnsi="宋体" w:cs="宋体"/>
          <w:bCs/>
          <w:szCs w:val="21"/>
        </w:rPr>
      </w:pPr>
      <w:r>
        <w:rPr>
          <w:rFonts w:hint="eastAsia" w:ascii="宋体" w:hAnsi="宋体" w:cs="宋体"/>
          <w:bCs/>
          <w:szCs w:val="21"/>
        </w:rPr>
        <w:t>32.1经磋商确定最终采购需求和提交最后报价的供应商后，由磋商小组采用综合评分法对提交最后报价的供应商的响应文件和最后报价进行综合评价。</w:t>
      </w:r>
    </w:p>
    <w:p>
      <w:pPr>
        <w:widowControl/>
        <w:adjustRightInd w:val="0"/>
        <w:snapToGrid w:val="0"/>
        <w:spacing w:before="120" w:beforeLines="50" w:after="120" w:afterLines="50" w:line="360" w:lineRule="auto"/>
        <w:ind w:firstLine="420" w:firstLineChars="200"/>
        <w:jc w:val="left"/>
        <w:rPr>
          <w:rFonts w:hint="eastAsia" w:ascii="宋体" w:hAnsi="宋体" w:cs="宋体"/>
          <w:bCs/>
          <w:szCs w:val="21"/>
        </w:rPr>
      </w:pPr>
      <w:r>
        <w:rPr>
          <w:rFonts w:hint="eastAsia" w:ascii="宋体" w:hAnsi="宋体" w:cs="宋体"/>
          <w:bCs/>
          <w:szCs w:val="21"/>
        </w:rPr>
        <w:t>32.2综合评分法，是指响应文件满足磋商文件全部实质性要求且按评审因素的量化指标评审得分最高的供应商为成交候选供应商的评审方法。本采购项目的评审因素和标准见</w:t>
      </w:r>
      <w:r>
        <w:rPr>
          <w:rFonts w:hint="eastAsia" w:ascii="宋体" w:hAnsi="宋体" w:cs="宋体"/>
          <w:b/>
          <w:bCs/>
          <w:szCs w:val="21"/>
        </w:rPr>
        <w:t>磋商须知前附表。</w:t>
      </w:r>
    </w:p>
    <w:p>
      <w:pPr>
        <w:widowControl/>
        <w:adjustRightInd w:val="0"/>
        <w:snapToGrid w:val="0"/>
        <w:spacing w:before="120" w:beforeLines="50" w:after="120" w:afterLines="50" w:line="360" w:lineRule="auto"/>
        <w:ind w:firstLine="420" w:firstLineChars="200"/>
        <w:jc w:val="left"/>
        <w:rPr>
          <w:rFonts w:hint="eastAsia" w:ascii="宋体" w:hAnsi="宋体" w:cs="宋体"/>
          <w:bCs/>
          <w:szCs w:val="21"/>
        </w:rPr>
      </w:pPr>
      <w:r>
        <w:rPr>
          <w:rFonts w:hint="eastAsia" w:ascii="宋体" w:hAnsi="宋体" w:cs="宋体"/>
          <w:kern w:val="0"/>
          <w:szCs w:val="21"/>
        </w:rPr>
        <w:t>32.3</w:t>
      </w:r>
      <w:r>
        <w:rPr>
          <w:rFonts w:hint="eastAsia" w:ascii="宋体" w:hAnsi="宋体" w:cs="宋体"/>
          <w:szCs w:val="21"/>
        </w:rPr>
        <w:t>最后报价调整。磋商小组以各供应商最后报价为基础，按照符合政府采购支持中小企业发展的相应条件，对供应商的最后报价进行价格扣除，用扣除后的最后报价计算价格得分，具体价格扣除比例见</w:t>
      </w:r>
      <w:r>
        <w:rPr>
          <w:rFonts w:hint="eastAsia" w:ascii="宋体" w:hAnsi="宋体" w:cs="宋体"/>
          <w:b/>
          <w:szCs w:val="21"/>
        </w:rPr>
        <w:t>磋商须知前附表</w:t>
      </w:r>
      <w:r>
        <w:rPr>
          <w:rFonts w:hint="eastAsia" w:ascii="宋体" w:hAnsi="宋体" w:cs="宋体"/>
          <w:szCs w:val="21"/>
        </w:rPr>
        <w:t>。</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32.4综合评分法中的价格分采用低价优先法计算，即满足磋商文件要求且经调整后的最后报价最低的供应商的价格为磋商基准价，其价格分为满分。其他供应商的价格分按照下列公式计算：</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磋商报价得分=（磋商基准价/最后磋商报价）×价格权值</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项目评审过程中，不得去掉最后报价中的最高报价和最低报价。</w:t>
      </w:r>
    </w:p>
    <w:p>
      <w:pPr>
        <w:widowControl/>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bCs/>
          <w:szCs w:val="21"/>
        </w:rPr>
        <w:t>32.5</w:t>
      </w:r>
      <w:r>
        <w:rPr>
          <w:rFonts w:hint="eastAsia" w:ascii="宋体" w:hAnsi="宋体" w:cs="宋体"/>
          <w:szCs w:val="21"/>
        </w:rPr>
        <w:t>涉及政府采购政策优惠对供应商分值进行调整的，</w:t>
      </w:r>
      <w:r>
        <w:rPr>
          <w:rFonts w:hint="eastAsia" w:ascii="宋体" w:hAnsi="宋体" w:cs="宋体"/>
          <w:bCs/>
          <w:szCs w:val="21"/>
        </w:rPr>
        <w:t>按</w:t>
      </w:r>
      <w:r>
        <w:rPr>
          <w:rFonts w:hint="eastAsia" w:ascii="宋体" w:hAnsi="宋体" w:cs="宋体"/>
          <w:b/>
          <w:szCs w:val="21"/>
        </w:rPr>
        <w:t>磋商须知前附表</w:t>
      </w:r>
      <w:r>
        <w:rPr>
          <w:rFonts w:hint="eastAsia" w:ascii="宋体" w:hAnsi="宋体" w:cs="宋体"/>
          <w:bCs/>
          <w:szCs w:val="21"/>
        </w:rPr>
        <w:t>规定</w:t>
      </w:r>
      <w:r>
        <w:rPr>
          <w:rFonts w:hint="eastAsia" w:ascii="宋体" w:hAnsi="宋体" w:cs="宋体"/>
          <w:szCs w:val="21"/>
        </w:rPr>
        <w:t>调整供应商的技术、商务、价格</w:t>
      </w:r>
      <w:r>
        <w:rPr>
          <w:rFonts w:hint="eastAsia" w:ascii="宋体" w:hAnsi="宋体" w:cs="宋体"/>
          <w:kern w:val="0"/>
          <w:szCs w:val="21"/>
        </w:rPr>
        <w:t>得分或总得分</w:t>
      </w:r>
      <w:r>
        <w:rPr>
          <w:rFonts w:hint="eastAsia" w:ascii="宋体" w:hAnsi="宋体" w:cs="宋体"/>
          <w:szCs w:val="21"/>
        </w:rPr>
        <w:t>。</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32.6涉及多处或部分获得政府采购政策优惠的，其多处或部分享受政府采购优惠政策的计算方法见</w:t>
      </w:r>
      <w:r>
        <w:rPr>
          <w:rFonts w:hint="eastAsia" w:ascii="宋体" w:hAnsi="宋体" w:cs="宋体"/>
          <w:b/>
          <w:szCs w:val="21"/>
        </w:rPr>
        <w:t>磋商须知前附表</w:t>
      </w:r>
      <w:r>
        <w:rPr>
          <w:rFonts w:hint="eastAsia" w:ascii="宋体" w:hAnsi="宋体" w:cs="宋体"/>
          <w:szCs w:val="21"/>
        </w:rPr>
        <w:t>相关规定。</w:t>
      </w:r>
    </w:p>
    <w:p>
      <w:pPr>
        <w:widowControl/>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kern w:val="0"/>
          <w:szCs w:val="21"/>
        </w:rPr>
        <w:t>32.7</w:t>
      </w:r>
      <w:r>
        <w:rPr>
          <w:rFonts w:hint="eastAsia" w:ascii="宋体" w:hAnsi="宋体" w:cs="宋体"/>
          <w:szCs w:val="21"/>
        </w:rPr>
        <w:t>评审时，磋商小组各成员应当独立对每个供应商的</w:t>
      </w:r>
      <w:r>
        <w:rPr>
          <w:rFonts w:hint="eastAsia" w:ascii="宋体" w:hAnsi="宋体" w:cs="宋体"/>
          <w:bCs/>
          <w:szCs w:val="21"/>
        </w:rPr>
        <w:t>响应文件</w:t>
      </w:r>
      <w:r>
        <w:rPr>
          <w:rFonts w:hint="eastAsia" w:ascii="宋体" w:hAnsi="宋体" w:cs="宋体"/>
          <w:szCs w:val="21"/>
        </w:rPr>
        <w:t>进行评价、评分，汇总各供应商的总得分。</w:t>
      </w:r>
    </w:p>
    <w:p>
      <w:pPr>
        <w:widowControl/>
        <w:adjustRightInd w:val="0"/>
        <w:snapToGrid w:val="0"/>
        <w:spacing w:before="120" w:beforeLines="50" w:after="120" w:afterLines="50" w:line="360" w:lineRule="auto"/>
        <w:jc w:val="left"/>
        <w:rPr>
          <w:rFonts w:hint="eastAsia" w:ascii="宋体" w:hAnsi="宋体" w:cs="宋体"/>
          <w:b/>
          <w:bCs/>
          <w:szCs w:val="21"/>
        </w:rPr>
      </w:pPr>
      <w:r>
        <w:rPr>
          <w:rFonts w:hint="eastAsia" w:ascii="宋体" w:hAnsi="宋体" w:cs="宋体"/>
          <w:b/>
          <w:bCs/>
          <w:szCs w:val="21"/>
        </w:rPr>
        <w:t>33</w:t>
      </w:r>
      <w:r>
        <w:rPr>
          <w:rFonts w:hint="eastAsia" w:ascii="宋体" w:hAnsi="宋体" w:cs="宋体"/>
          <w:b/>
          <w:kern w:val="0"/>
          <w:szCs w:val="21"/>
        </w:rPr>
        <w:t>.</w:t>
      </w:r>
      <w:r>
        <w:rPr>
          <w:rFonts w:hint="eastAsia" w:ascii="宋体" w:hAnsi="宋体" w:cs="宋体"/>
          <w:b/>
          <w:bCs/>
          <w:szCs w:val="21"/>
        </w:rPr>
        <w:t>提出成交供应商</w:t>
      </w:r>
    </w:p>
    <w:p>
      <w:pPr>
        <w:widowControl/>
        <w:adjustRightInd w:val="0"/>
        <w:snapToGrid w:val="0"/>
        <w:spacing w:before="120" w:beforeLines="50" w:after="120" w:afterLines="50" w:line="360" w:lineRule="auto"/>
        <w:ind w:firstLine="420" w:firstLineChars="200"/>
        <w:jc w:val="left"/>
        <w:rPr>
          <w:rFonts w:hint="eastAsia" w:ascii="宋体" w:hAnsi="宋体" w:cs="宋体"/>
          <w:bCs/>
          <w:szCs w:val="21"/>
        </w:rPr>
      </w:pPr>
      <w:r>
        <w:rPr>
          <w:rFonts w:hint="eastAsia" w:ascii="宋体" w:hAnsi="宋体" w:cs="宋体"/>
          <w:kern w:val="0"/>
          <w:szCs w:val="21"/>
        </w:rPr>
        <w:t>33.1磋商小组应当根据综合评分情况</w:t>
      </w:r>
      <w:r>
        <w:rPr>
          <w:rFonts w:hint="eastAsia" w:ascii="宋体" w:hAnsi="宋体" w:cs="宋体"/>
          <w:bCs/>
          <w:szCs w:val="21"/>
        </w:rPr>
        <w:t>，按照评审得分由高到低顺序推荐3名以上成交候选供应商，并编写评审报告。评审得分相同的，按照最后报价由低到高的顺序推荐。评审得分且最后报价相同的，按照技术指标优劣顺序推荐。</w:t>
      </w:r>
    </w:p>
    <w:p>
      <w:pPr>
        <w:tabs>
          <w:tab w:val="left" w:pos="0"/>
        </w:tabs>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34.确定成交供应商</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34.1采购代理机构应当在评审结束后2个工作日内将评审报告送采购人确认。</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34.2采购人应当在收到评审报告后5个工作日内，从评审报告提出的成交候选供应商中，按照排序由高到低的原则确定成交供应商，也可以书面授权磋商小组直接确定成交供应商。</w:t>
      </w:r>
    </w:p>
    <w:p>
      <w:pPr>
        <w:widowControl/>
        <w:adjustRightInd w:val="0"/>
        <w:snapToGrid w:val="0"/>
        <w:spacing w:before="120" w:beforeLines="50" w:after="120" w:afterLines="50" w:line="360" w:lineRule="auto"/>
        <w:ind w:firstLine="420" w:firstLineChars="200"/>
        <w:jc w:val="left"/>
        <w:rPr>
          <w:rFonts w:hint="eastAsia"/>
        </w:rPr>
      </w:pPr>
      <w:r>
        <w:rPr>
          <w:rFonts w:hint="eastAsia" w:ascii="宋体" w:hAnsi="宋体" w:cs="宋体"/>
          <w:kern w:val="0"/>
          <w:szCs w:val="21"/>
        </w:rPr>
        <w:t>34.3采购人应当确定排名第一的候选成交供应商为预成交供应商。若排名第一的候选成交供应商未通过履约能力和价格核查，采购人应按推荐的名单排序依次确定其他候选成交供 应商为预成交供应商。</w:t>
      </w:r>
    </w:p>
    <w:p>
      <w:pPr>
        <w:pStyle w:val="9"/>
        <w:adjustRightInd w:val="0"/>
        <w:snapToGrid w:val="0"/>
        <w:spacing w:before="120" w:beforeLines="50" w:after="120" w:afterLines="50" w:line="360" w:lineRule="auto"/>
        <w:ind w:left="632" w:hanging="632" w:hangingChars="300"/>
        <w:rPr>
          <w:rFonts w:hint="eastAsia" w:hAnsi="宋体" w:cs="宋体"/>
          <w:b/>
        </w:rPr>
      </w:pPr>
      <w:r>
        <w:rPr>
          <w:rFonts w:hint="eastAsia" w:hAnsi="宋体" w:cs="宋体"/>
          <w:b/>
        </w:rPr>
        <w:t>35.磋商终止</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bCs/>
          <w:szCs w:val="21"/>
        </w:rPr>
        <w:t>35.1</w:t>
      </w:r>
      <w:r>
        <w:rPr>
          <w:rFonts w:hint="eastAsia" w:ascii="宋体" w:hAnsi="宋体" w:cs="宋体"/>
          <w:kern w:val="0"/>
          <w:szCs w:val="21"/>
        </w:rPr>
        <w:t>出现下列情形之一的，采购人或者采购代理机构应当终止竞争性磋商采购活动，</w:t>
      </w:r>
      <w:r>
        <w:rPr>
          <w:rFonts w:hint="eastAsia" w:ascii="宋体" w:hAnsi="宋体" w:cs="宋体"/>
          <w:szCs w:val="21"/>
        </w:rPr>
        <w:t>在本章第38.1款指定的媒体上</w:t>
      </w:r>
      <w:r>
        <w:rPr>
          <w:rFonts w:hint="eastAsia" w:ascii="宋体" w:hAnsi="宋体" w:cs="宋体"/>
          <w:kern w:val="0"/>
          <w:szCs w:val="21"/>
        </w:rPr>
        <w:t xml:space="preserve">发布项目终止公告并说明原因，重新开展采购活动： </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（1）因情况变化，不再符合规定的竞争性磋商采购方式适用情形的；</w:t>
      </w:r>
    </w:p>
    <w:p>
      <w:pPr>
        <w:widowControl/>
        <w:adjustRightInd w:val="0"/>
        <w:snapToGrid w:val="0"/>
        <w:spacing w:before="120" w:beforeLines="50" w:after="120" w:afterLines="50" w:line="360" w:lineRule="auto"/>
        <w:ind w:firstLine="420"/>
        <w:jc w:val="left"/>
        <w:rPr>
          <w:rFonts w:hint="eastAsia" w:ascii="宋体" w:hAnsi="宋体" w:cs="宋体"/>
          <w:kern w:val="0"/>
          <w:szCs w:val="21"/>
        </w:rPr>
      </w:pPr>
      <w:r>
        <w:rPr>
          <w:rFonts w:hint="eastAsia" w:ascii="宋体" w:hAnsi="宋体" w:cs="宋体"/>
          <w:kern w:val="0"/>
          <w:szCs w:val="21"/>
        </w:rPr>
        <w:t>（2）出现影响采购公正的违法、违规行为的；</w:t>
      </w:r>
    </w:p>
    <w:p>
      <w:pPr>
        <w:widowControl/>
        <w:adjustRightInd w:val="0"/>
        <w:snapToGrid w:val="0"/>
        <w:spacing w:before="120" w:beforeLines="50" w:after="120" w:afterLines="50" w:line="360" w:lineRule="auto"/>
        <w:ind w:firstLine="420"/>
        <w:jc w:val="left"/>
        <w:rPr>
          <w:rFonts w:hint="eastAsia" w:ascii="宋体" w:hAnsi="宋体" w:cs="宋体"/>
          <w:bCs/>
          <w:szCs w:val="21"/>
        </w:rPr>
      </w:pPr>
      <w:r>
        <w:rPr>
          <w:rFonts w:hint="eastAsia" w:ascii="宋体" w:hAnsi="宋体" w:cs="宋体"/>
          <w:kern w:val="0"/>
          <w:szCs w:val="21"/>
        </w:rPr>
        <w:t>（3）</w:t>
      </w:r>
      <w:r>
        <w:rPr>
          <w:rFonts w:hint="eastAsia" w:ascii="宋体" w:hAnsi="宋体" w:cs="宋体"/>
          <w:bCs/>
          <w:szCs w:val="21"/>
        </w:rPr>
        <w:t>在采购过程中符合要求的供应商或者报价未超过采购预算的供应商不足3家的；</w:t>
      </w:r>
    </w:p>
    <w:p>
      <w:pPr>
        <w:widowControl/>
        <w:adjustRightInd w:val="0"/>
        <w:snapToGrid w:val="0"/>
        <w:spacing w:before="120" w:beforeLines="50" w:after="120" w:afterLines="50" w:line="360" w:lineRule="auto"/>
        <w:ind w:firstLine="420"/>
        <w:jc w:val="left"/>
        <w:rPr>
          <w:rFonts w:hint="eastAsia" w:ascii="宋体" w:hAnsi="宋体" w:cs="宋体"/>
          <w:bCs/>
          <w:szCs w:val="21"/>
        </w:rPr>
      </w:pPr>
      <w:r>
        <w:rPr>
          <w:rFonts w:hint="eastAsia" w:ascii="宋体" w:hAnsi="宋体" w:cs="宋体"/>
          <w:kern w:val="0"/>
          <w:szCs w:val="21"/>
        </w:rPr>
        <w:t>（4）因重大变故，采购任务取消的。</w:t>
      </w:r>
    </w:p>
    <w:p>
      <w:pPr>
        <w:widowControl/>
        <w:adjustRightInd w:val="0"/>
        <w:snapToGrid w:val="0"/>
        <w:spacing w:before="120" w:beforeLines="50" w:after="120" w:afterLines="50" w:line="360" w:lineRule="auto"/>
        <w:jc w:val="left"/>
        <w:rPr>
          <w:rFonts w:hint="eastAsia" w:ascii="宋体" w:hAnsi="宋体" w:cs="宋体"/>
          <w:b/>
          <w:kern w:val="0"/>
          <w:szCs w:val="21"/>
        </w:rPr>
      </w:pPr>
      <w:r>
        <w:rPr>
          <w:rFonts w:hint="eastAsia" w:ascii="宋体" w:hAnsi="宋体" w:cs="宋体"/>
          <w:b/>
          <w:kern w:val="0"/>
          <w:szCs w:val="21"/>
        </w:rPr>
        <w:t>36．重新评审</w:t>
      </w:r>
    </w:p>
    <w:p>
      <w:pPr>
        <w:widowControl/>
        <w:adjustRightInd w:val="0"/>
        <w:snapToGrid w:val="0"/>
        <w:spacing w:before="120" w:beforeLines="50" w:after="120" w:afterLines="50" w:line="360" w:lineRule="auto"/>
        <w:ind w:firstLine="420" w:firstLineChars="200"/>
        <w:jc w:val="left"/>
        <w:rPr>
          <w:rFonts w:hint="eastAsia" w:ascii="宋体" w:hAnsi="宋体" w:cs="宋体"/>
          <w:kern w:val="0"/>
          <w:szCs w:val="21"/>
        </w:rPr>
      </w:pPr>
      <w:r>
        <w:rPr>
          <w:rFonts w:hint="eastAsia" w:ascii="宋体" w:hAnsi="宋体" w:cs="宋体"/>
          <w:kern w:val="0"/>
          <w:szCs w:val="21"/>
        </w:rPr>
        <w:t>36.1除资格性检查认定错误、分值汇总计算错误、分项评分超出评分标准范围、客观分评分不一致、经磋商小组一致认定评分畸高、畸低的情形外，采购人或者采购代理机构不得以任何理由组织重新评审。采购人、采购代理机构发现磋商小组未按照磋商文件规定的评审标准进行评审的，应当重新开展采购活动。</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37.保密及串通行为</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37.1磋商小组成员以及与评审工作有关的人员不得泄露评审情况以及评审过程中获悉的国家秘密、商业秘密。</w:t>
      </w:r>
    </w:p>
    <w:p>
      <w:pPr>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37.2</w:t>
      </w:r>
      <w:r>
        <w:rPr>
          <w:rFonts w:hint="eastAsia" w:ascii="宋体" w:hAnsi="宋体" w:cs="宋体"/>
          <w:kern w:val="0"/>
          <w:szCs w:val="21"/>
        </w:rPr>
        <w:t>供应商</w:t>
      </w:r>
      <w:r>
        <w:rPr>
          <w:rFonts w:hint="eastAsia" w:ascii="宋体" w:hAnsi="宋体" w:cs="宋体"/>
          <w:szCs w:val="21"/>
        </w:rPr>
        <w:t>不得与</w:t>
      </w:r>
      <w:r>
        <w:rPr>
          <w:rFonts w:hint="eastAsia" w:ascii="宋体" w:hAnsi="宋体" w:cs="宋体"/>
          <w:kern w:val="0"/>
          <w:szCs w:val="21"/>
        </w:rPr>
        <w:t>采购人、采购代理机构、其他供应商恶意</w:t>
      </w:r>
      <w:r>
        <w:rPr>
          <w:rFonts w:hint="eastAsia" w:ascii="宋体" w:hAnsi="宋体" w:cs="宋体"/>
          <w:szCs w:val="21"/>
        </w:rPr>
        <w:t>串通；不得向</w:t>
      </w:r>
      <w:r>
        <w:rPr>
          <w:rFonts w:hint="eastAsia" w:ascii="宋体" w:hAnsi="宋体" w:cs="宋体"/>
          <w:kern w:val="0"/>
          <w:szCs w:val="21"/>
        </w:rPr>
        <w:t>采购人、采购代理机构</w:t>
      </w:r>
      <w:r>
        <w:rPr>
          <w:rFonts w:hint="eastAsia" w:ascii="宋体" w:hAnsi="宋体" w:cs="宋体"/>
          <w:szCs w:val="21"/>
        </w:rPr>
        <w:t>或者磋商小组成员行贿或者提供其他不正当利益；不得提供虚假资料谋取成交；不得以任何方式干扰、影响采购工作。</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rPr>
        <w:t>37.3</w:t>
      </w:r>
      <w:r>
        <w:rPr>
          <w:rFonts w:hint="eastAsia"/>
          <w:sz w:val="21"/>
          <w:szCs w:val="21"/>
          <w:lang w:val="zh-CN"/>
        </w:rPr>
        <w:t>有下列情形之一的，属于恶意串通，对供应商依照政府采购法第七十七条第一款的规定追究法律责任：</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（一）供应商直接或者间接从采购人或者采购代理机构处获得其他供应商的相关情况并修改其响应文件或者响应文件；</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（二）供应商按照采购人或者采购代理机构的授意撤换、修改响应文件或者响应文件；</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（三）供应商之间协商报价、技术方案等响应文件或者响应文件的实质性内容；</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（四）属于同一集团、协会、商会等组织成员的供应商按照该组织要求协同参加政府采购活动；</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（五）供应商之间事先约定由某一特定供应商中标、成交；</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（六）供应商之间商定部分供应商放弃参加政府采购活动或者放弃中标、成交；</w:t>
      </w:r>
    </w:p>
    <w:p>
      <w:pPr>
        <w:pStyle w:val="15"/>
        <w:adjustRightInd w:val="0"/>
        <w:snapToGrid w:val="0"/>
        <w:spacing w:before="120" w:beforeLines="50" w:beforeAutospacing="0" w:after="120" w:afterLines="50" w:afterAutospacing="0" w:line="360" w:lineRule="auto"/>
        <w:ind w:firstLine="420" w:firstLineChars="200"/>
        <w:rPr>
          <w:rFonts w:hint="eastAsia"/>
          <w:sz w:val="21"/>
          <w:szCs w:val="21"/>
          <w:lang w:val="zh-CN"/>
        </w:rPr>
      </w:pPr>
      <w:r>
        <w:rPr>
          <w:rFonts w:hint="eastAsia"/>
          <w:sz w:val="21"/>
          <w:szCs w:val="21"/>
          <w:lang w:val="zh-CN"/>
        </w:rPr>
        <w:t>（七）供应商与采购人或者采购代理机构之间、供应商相互之间，为谋求特定供应商中标、成交或者排斥其他供应商的其他串通行为。</w:t>
      </w: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26" w:name="_Toc21583"/>
      <w:bookmarkStart w:id="27" w:name="_Toc24019"/>
      <w:r>
        <w:rPr>
          <w:rFonts w:hint="eastAsia" w:ascii="宋体" w:hAnsi="宋体" w:cs="宋体"/>
          <w:sz w:val="28"/>
          <w:szCs w:val="28"/>
        </w:rPr>
        <w:t>六、成交结果信息公布与授予合同</w:t>
      </w:r>
      <w:bookmarkEnd w:id="26"/>
      <w:bookmarkEnd w:id="27"/>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38.成交信息的公布</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38.1成交供应商确定后2个工作日内，成交结果信息将在</w:t>
      </w:r>
      <w:r>
        <w:rPr>
          <w:rFonts w:hint="eastAsia" w:hAnsi="宋体" w:cs="宋体"/>
          <w:b/>
        </w:rPr>
        <w:t>磋商须知前附表</w:t>
      </w:r>
      <w:r>
        <w:rPr>
          <w:rFonts w:hint="eastAsia" w:hAnsi="宋体" w:cs="宋体"/>
        </w:rPr>
        <w:t>指定的媒体上公布。</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39.询问及质疑</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39.1供应商对采购活动事项有疑问的，可以向采购人或采购代理机构提出询问。</w:t>
      </w:r>
    </w:p>
    <w:p>
      <w:pPr>
        <w:adjustRightInd w:val="0"/>
        <w:snapToGrid w:val="0"/>
        <w:spacing w:before="120" w:beforeLines="50" w:after="120" w:afterLines="50" w:line="360" w:lineRule="auto"/>
        <w:ind w:firstLine="420" w:firstLineChars="200"/>
        <w:jc w:val="left"/>
        <w:rPr>
          <w:rFonts w:hint="eastAsia" w:ascii="宋体" w:hAnsi="宋体" w:cs="宋体"/>
          <w:szCs w:val="21"/>
        </w:rPr>
      </w:pPr>
      <w:r>
        <w:rPr>
          <w:rFonts w:hint="eastAsia" w:ascii="宋体" w:hAnsi="宋体" w:cs="宋体"/>
          <w:szCs w:val="21"/>
        </w:rPr>
        <w:t>39.2供应商若认为磋商文件、采购过程和成交结果使自己的权益受到损害，可以按法律、行政法规及湖南省财政厅规范性文件规定向采购人或采购代理机构提出质疑。供应商须针对同一程序一次性以书面形式提出所有质疑。</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40.成交通知</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40.1成交供应商确定后，采购人或采购代理机构将以书面形式向成交供应商发出成交通知书。成交通知书对采购人和成交供应商具有同等法律效力。</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40.2 成交通知书是合同文件的组成部分。</w:t>
      </w:r>
    </w:p>
    <w:p>
      <w:pPr>
        <w:tabs>
          <w:tab w:val="left" w:pos="7560"/>
          <w:tab w:val="left" w:pos="7740"/>
          <w:tab w:val="left" w:pos="7920"/>
        </w:tabs>
        <w:autoSpaceDN w:val="0"/>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kern w:val="0"/>
          <w:szCs w:val="21"/>
        </w:rPr>
        <w:t xml:space="preserve">40.3 </w:t>
      </w:r>
      <w:r>
        <w:rPr>
          <w:rFonts w:hint="eastAsia" w:ascii="宋体" w:hAnsi="宋体" w:cs="宋体"/>
          <w:szCs w:val="21"/>
        </w:rPr>
        <w:t>成交供应商在收到采购代理机构的成交通知书后10日内，应按照</w:t>
      </w:r>
      <w:r>
        <w:rPr>
          <w:rFonts w:hint="eastAsia" w:ascii="宋体" w:hAnsi="宋体" w:cs="宋体"/>
          <w:b/>
          <w:szCs w:val="21"/>
        </w:rPr>
        <w:t>磋商须知前附表</w:t>
      </w:r>
      <w:r>
        <w:rPr>
          <w:rFonts w:hint="eastAsia" w:ascii="宋体" w:hAnsi="宋体" w:cs="宋体"/>
          <w:szCs w:val="21"/>
        </w:rPr>
        <w:t>的规定，向采购人提交履约担保。联合体成交的，履约担保由联合体各方或联合体中牵头人的名义提交。</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40.4 成交供应商</w:t>
      </w:r>
      <w:r>
        <w:rPr>
          <w:rFonts w:hint="eastAsia" w:hAnsi="宋体" w:cs="宋体"/>
          <w:spacing w:val="4"/>
        </w:rPr>
        <w:t>没有按照本章第40.3</w:t>
      </w:r>
      <w:r>
        <w:rPr>
          <w:rFonts w:hint="eastAsia" w:hAnsi="宋体" w:cs="宋体"/>
          <w:kern w:val="0"/>
          <w:lang w:val="zh-CN"/>
        </w:rPr>
        <w:t>款</w:t>
      </w:r>
      <w:r>
        <w:rPr>
          <w:rFonts w:hint="eastAsia" w:hAnsi="宋体" w:cs="宋体"/>
          <w:spacing w:val="4"/>
        </w:rPr>
        <w:t>规定</w:t>
      </w:r>
      <w:r>
        <w:rPr>
          <w:rFonts w:hint="eastAsia" w:hAnsi="宋体" w:cs="宋体"/>
        </w:rPr>
        <w:t>提交履约担保的</w:t>
      </w:r>
      <w:r>
        <w:rPr>
          <w:rFonts w:hint="eastAsia" w:hAnsi="宋体" w:cs="宋体"/>
          <w:spacing w:val="4"/>
        </w:rPr>
        <w:t>，视为放弃</w:t>
      </w:r>
      <w:r>
        <w:rPr>
          <w:rFonts w:hint="eastAsia" w:hAnsi="宋体" w:cs="宋体"/>
        </w:rPr>
        <w:t>成交资格</w:t>
      </w:r>
      <w:r>
        <w:rPr>
          <w:rFonts w:hint="eastAsia" w:hAnsi="宋体" w:cs="宋体"/>
          <w:spacing w:val="4"/>
        </w:rPr>
        <w:t>，</w:t>
      </w:r>
      <w:r>
        <w:rPr>
          <w:rFonts w:hint="eastAsia" w:hAnsi="宋体" w:cs="宋体"/>
          <w:spacing w:val="2"/>
        </w:rPr>
        <w:t>其保证金不予退还。</w:t>
      </w:r>
    </w:p>
    <w:p>
      <w:pPr>
        <w:adjustRightInd w:val="0"/>
        <w:snapToGrid w:val="0"/>
        <w:spacing w:before="120" w:beforeLines="50" w:after="120" w:afterLines="50" w:line="360" w:lineRule="auto"/>
        <w:rPr>
          <w:rFonts w:hint="eastAsia" w:ascii="宋体" w:hAnsi="宋体" w:cs="宋体"/>
          <w:b/>
          <w:bCs/>
          <w:szCs w:val="21"/>
        </w:rPr>
      </w:pPr>
      <w:r>
        <w:rPr>
          <w:rFonts w:hint="eastAsia" w:ascii="宋体" w:hAnsi="宋体" w:cs="宋体"/>
          <w:b/>
          <w:bCs/>
          <w:szCs w:val="21"/>
        </w:rPr>
        <w:t>41.签订合同</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41.1成交供应商应当在成交通知书发出之日起30日内与采购人签订采购合同。</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41.2磋商文件、成交供应商的响应文件等均为签订采购合同的依据。</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41.3 成交供应商应当按照合同约定履行义务。成交供应商不得向他人转让成交项目，也不得将成交项目分包后分别向他人转让。</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41.4 成交供应商有下列情形之一的，责令限期改正，情节严重的，列入不良行为记录名单，在1至3年内禁止参加政府采购活动，并予以通报：</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（一）成交后无正当理由不与采购人签订合同的；</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（二）未按照采购文件确定的事项签订政府采购合同，或者与采购人另行订立背离合同实质性内容的协议的；</w:t>
      </w:r>
    </w:p>
    <w:p>
      <w:pPr>
        <w:pStyle w:val="9"/>
        <w:adjustRightInd w:val="0"/>
        <w:snapToGrid w:val="0"/>
        <w:spacing w:before="120" w:beforeLines="50" w:after="120" w:afterLines="50" w:line="360" w:lineRule="auto"/>
        <w:ind w:firstLine="420" w:firstLineChars="200"/>
        <w:rPr>
          <w:rFonts w:hint="eastAsia" w:hAnsi="宋体" w:cs="宋体"/>
        </w:rPr>
      </w:pPr>
      <w:r>
        <w:rPr>
          <w:rFonts w:hint="eastAsia" w:hAnsi="宋体" w:cs="宋体"/>
        </w:rPr>
        <w:t>（三）拒绝履行合同义务的；</w:t>
      </w:r>
    </w:p>
    <w:p>
      <w:pPr>
        <w:pStyle w:val="9"/>
        <w:adjustRightInd w:val="0"/>
        <w:snapToGrid w:val="0"/>
        <w:spacing w:before="120" w:beforeLines="50" w:after="120" w:afterLines="50" w:line="360" w:lineRule="auto"/>
        <w:ind w:firstLine="420" w:firstLineChars="200"/>
        <w:rPr>
          <w:rFonts w:hint="eastAsia" w:hAnsi="宋体" w:cs="宋体"/>
          <w:kern w:val="0"/>
        </w:rPr>
      </w:pPr>
      <w:r>
        <w:rPr>
          <w:rFonts w:hint="eastAsia" w:hAnsi="宋体" w:cs="宋体"/>
        </w:rPr>
        <w:t>（四）</w:t>
      </w:r>
      <w:r>
        <w:rPr>
          <w:rFonts w:hint="eastAsia" w:hAnsi="宋体" w:cs="宋体"/>
          <w:kern w:val="0"/>
        </w:rPr>
        <w:t>违反法律、规章、规范性文件规定的。</w:t>
      </w:r>
    </w:p>
    <w:p>
      <w:pPr>
        <w:adjustRightInd w:val="0"/>
        <w:snapToGrid w:val="0"/>
        <w:spacing w:before="240" w:beforeLines="100" w:after="120" w:afterLines="50" w:line="360" w:lineRule="auto"/>
        <w:jc w:val="center"/>
        <w:outlineLvl w:val="2"/>
        <w:rPr>
          <w:rFonts w:hint="eastAsia" w:ascii="宋体" w:hAnsi="宋体" w:cs="宋体"/>
          <w:sz w:val="28"/>
          <w:szCs w:val="28"/>
        </w:rPr>
      </w:pPr>
      <w:bookmarkStart w:id="28" w:name="_Toc3259"/>
      <w:bookmarkStart w:id="29" w:name="_Toc15355"/>
      <w:r>
        <w:rPr>
          <w:rFonts w:hint="eastAsia" w:ascii="宋体" w:hAnsi="宋体" w:cs="宋体"/>
          <w:sz w:val="28"/>
          <w:szCs w:val="28"/>
        </w:rPr>
        <w:t>七、其他规定</w:t>
      </w:r>
      <w:bookmarkEnd w:id="28"/>
      <w:bookmarkEnd w:id="29"/>
    </w:p>
    <w:p>
      <w:pPr>
        <w:adjustRightInd w:val="0"/>
        <w:snapToGrid w:val="0"/>
        <w:spacing w:before="120" w:beforeLines="50" w:after="120" w:afterLines="50" w:line="360" w:lineRule="auto"/>
        <w:jc w:val="left"/>
        <w:rPr>
          <w:rFonts w:hint="eastAsia" w:ascii="宋体" w:hAnsi="宋体" w:cs="宋体"/>
          <w:b/>
          <w:szCs w:val="21"/>
        </w:rPr>
      </w:pPr>
      <w:r>
        <w:rPr>
          <w:rFonts w:hint="eastAsia" w:ascii="宋体" w:hAnsi="宋体" w:cs="宋体"/>
          <w:b/>
          <w:szCs w:val="21"/>
        </w:rPr>
        <w:t>42. 采购代理服务费</w:t>
      </w:r>
    </w:p>
    <w:p>
      <w:pPr>
        <w:tabs>
          <w:tab w:val="left" w:pos="420"/>
          <w:tab w:val="left" w:pos="7560"/>
          <w:tab w:val="left" w:pos="7740"/>
          <w:tab w:val="left" w:pos="7920"/>
        </w:tabs>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42.1采购代理机构应按</w:t>
      </w:r>
      <w:r>
        <w:rPr>
          <w:rFonts w:hint="eastAsia" w:ascii="宋体" w:hAnsi="宋体" w:cs="宋体"/>
          <w:b/>
          <w:szCs w:val="21"/>
        </w:rPr>
        <w:t>磋商须知前附表</w:t>
      </w:r>
      <w:r>
        <w:rPr>
          <w:rFonts w:hint="eastAsia" w:ascii="宋体" w:hAnsi="宋体" w:cs="宋体"/>
          <w:szCs w:val="21"/>
        </w:rPr>
        <w:t>规定收取采购代理服务费。</w:t>
      </w:r>
    </w:p>
    <w:p>
      <w:pPr>
        <w:tabs>
          <w:tab w:val="left" w:pos="420"/>
          <w:tab w:val="left" w:pos="7560"/>
          <w:tab w:val="left" w:pos="7740"/>
          <w:tab w:val="left" w:pos="7920"/>
        </w:tabs>
        <w:adjustRightInd w:val="0"/>
        <w:snapToGrid w:val="0"/>
        <w:spacing w:before="120" w:beforeLines="50" w:after="120" w:afterLines="50" w:line="360" w:lineRule="auto"/>
        <w:rPr>
          <w:rFonts w:hint="eastAsia" w:ascii="宋体" w:hAnsi="宋体" w:cs="宋体"/>
          <w:b/>
          <w:szCs w:val="21"/>
        </w:rPr>
      </w:pPr>
      <w:r>
        <w:rPr>
          <w:rFonts w:hint="eastAsia" w:ascii="宋体" w:hAnsi="宋体" w:cs="宋体"/>
          <w:b/>
          <w:szCs w:val="21"/>
        </w:rPr>
        <w:t>43. 其他规定</w:t>
      </w:r>
    </w:p>
    <w:p>
      <w:pPr>
        <w:tabs>
          <w:tab w:val="left" w:pos="420"/>
          <w:tab w:val="left" w:pos="7560"/>
          <w:tab w:val="left" w:pos="7740"/>
          <w:tab w:val="left" w:pos="7920"/>
        </w:tabs>
        <w:adjustRightInd w:val="0"/>
        <w:snapToGrid w:val="0"/>
        <w:spacing w:before="120" w:beforeLines="50" w:after="120" w:afterLines="50" w:line="360" w:lineRule="auto"/>
        <w:ind w:firstLine="420" w:firstLineChars="200"/>
        <w:rPr>
          <w:rFonts w:hint="eastAsia" w:ascii="宋体" w:hAnsi="宋体" w:cs="宋体"/>
          <w:szCs w:val="21"/>
        </w:rPr>
      </w:pPr>
      <w:r>
        <w:rPr>
          <w:rFonts w:hint="eastAsia" w:ascii="宋体" w:hAnsi="宋体" w:cs="宋体"/>
          <w:szCs w:val="21"/>
        </w:rPr>
        <w:t>43.1 供应商信誉要求见</w:t>
      </w:r>
      <w:r>
        <w:rPr>
          <w:rFonts w:hint="eastAsia" w:ascii="宋体" w:hAnsi="宋体" w:cs="宋体"/>
          <w:b/>
          <w:szCs w:val="21"/>
        </w:rPr>
        <w:t>磋商须知前附表</w:t>
      </w:r>
    </w:p>
    <w:p>
      <w:pPr>
        <w:pStyle w:val="2"/>
        <w:rPr>
          <w:rFonts w:hint="default"/>
          <w:lang w:val="en-US" w:eastAsia="zh-CN"/>
        </w:rPr>
      </w:pPr>
      <w:r>
        <w:rPr>
          <w:rFonts w:hint="eastAsia" w:ascii="宋体" w:hAnsi="宋体" w:cs="宋体"/>
          <w:szCs w:val="21"/>
        </w:rPr>
        <w:t>43.2 磋商文件的其他规定见</w:t>
      </w:r>
      <w:r>
        <w:rPr>
          <w:rFonts w:hint="eastAsia" w:ascii="宋体" w:hAnsi="宋体" w:cs="宋体"/>
          <w:b/>
          <w:szCs w:val="21"/>
        </w:rPr>
        <w:t>磋商须知前附表</w:t>
      </w:r>
      <w:r>
        <w:rPr>
          <w:rFonts w:hint="eastAsia" w:ascii="宋体" w:hAnsi="宋体" w:cs="宋体"/>
          <w:szCs w:val="21"/>
        </w:rPr>
        <w:t>。</w:t>
      </w:r>
      <w:bookmarkStart w:id="30" w:name="_GoBack"/>
      <w:bookmarkEnd w:id="30"/>
    </w:p>
    <w:sectPr>
      <w:pgSz w:w="12240" w:h="15840"/>
      <w:pgMar w:top="1440" w:right="1800" w:bottom="1440" w:left="1800" w:header="720" w:footer="720" w:gutter="0"/>
      <w:lnNumType w:countBy="0" w:distance="36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华文新魏">
    <w:panose1 w:val="02010800040101010101"/>
    <w:charset w:val="86"/>
    <w:family w:val="auto"/>
    <w:pitch w:val="default"/>
    <w:sig w:usb0="00000001" w:usb1="080F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decimal"/>
      <w:lvlText w:val="%1"/>
      <w:lvlJc w:val="left"/>
      <w:pPr>
        <w:tabs>
          <w:tab w:val="left" w:pos="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211014F9"/>
    <w:multiLevelType w:val="multilevel"/>
    <w:tmpl w:val="211014F9"/>
    <w:lvl w:ilvl="0" w:tentative="0">
      <w:start w:val="1"/>
      <w:numFmt w:val="decimal"/>
      <w:lvlText w:val="%1"/>
      <w:lvlJc w:val="left"/>
      <w:pPr>
        <w:tabs>
          <w:tab w:val="left" w:pos="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yNGFhOTk0YzM3YjI4ODY0Zjc3NTQ2YTg3MjMxZWYifQ=="/>
  </w:docVars>
  <w:rsids>
    <w:rsidRoot w:val="00E55AE4"/>
    <w:rsid w:val="00015A61"/>
    <w:rsid w:val="00027560"/>
    <w:rsid w:val="0003294B"/>
    <w:rsid w:val="00066766"/>
    <w:rsid w:val="00070AF7"/>
    <w:rsid w:val="00072C52"/>
    <w:rsid w:val="00072D3F"/>
    <w:rsid w:val="000A2C52"/>
    <w:rsid w:val="000B73F8"/>
    <w:rsid w:val="000C44FF"/>
    <w:rsid w:val="00106BD3"/>
    <w:rsid w:val="00111963"/>
    <w:rsid w:val="001136A0"/>
    <w:rsid w:val="00151ECB"/>
    <w:rsid w:val="00173FA5"/>
    <w:rsid w:val="001807CD"/>
    <w:rsid w:val="00191903"/>
    <w:rsid w:val="00195DFB"/>
    <w:rsid w:val="001C62F2"/>
    <w:rsid w:val="001E671D"/>
    <w:rsid w:val="00214A3A"/>
    <w:rsid w:val="00222C59"/>
    <w:rsid w:val="00224EAA"/>
    <w:rsid w:val="00237144"/>
    <w:rsid w:val="00263223"/>
    <w:rsid w:val="0027488A"/>
    <w:rsid w:val="00280EB1"/>
    <w:rsid w:val="002914E5"/>
    <w:rsid w:val="002A4747"/>
    <w:rsid w:val="002A58D1"/>
    <w:rsid w:val="002B5BEB"/>
    <w:rsid w:val="002B6279"/>
    <w:rsid w:val="002C011F"/>
    <w:rsid w:val="002E4921"/>
    <w:rsid w:val="003002A7"/>
    <w:rsid w:val="00343E89"/>
    <w:rsid w:val="00386B5D"/>
    <w:rsid w:val="003A49B6"/>
    <w:rsid w:val="003A697D"/>
    <w:rsid w:val="003C669D"/>
    <w:rsid w:val="003D04DE"/>
    <w:rsid w:val="003E0A9B"/>
    <w:rsid w:val="00402E8F"/>
    <w:rsid w:val="004042B0"/>
    <w:rsid w:val="00411EAE"/>
    <w:rsid w:val="00432B7C"/>
    <w:rsid w:val="004343BF"/>
    <w:rsid w:val="00440D61"/>
    <w:rsid w:val="00453E96"/>
    <w:rsid w:val="00474781"/>
    <w:rsid w:val="004A2DD3"/>
    <w:rsid w:val="004B2EA7"/>
    <w:rsid w:val="004B349E"/>
    <w:rsid w:val="004B6D49"/>
    <w:rsid w:val="004C2BB3"/>
    <w:rsid w:val="004F5D87"/>
    <w:rsid w:val="00517247"/>
    <w:rsid w:val="0052114A"/>
    <w:rsid w:val="00556582"/>
    <w:rsid w:val="00562FE7"/>
    <w:rsid w:val="00570ADB"/>
    <w:rsid w:val="00574CD9"/>
    <w:rsid w:val="005804C7"/>
    <w:rsid w:val="005C4C81"/>
    <w:rsid w:val="005D4DC7"/>
    <w:rsid w:val="005F5942"/>
    <w:rsid w:val="0061747A"/>
    <w:rsid w:val="006208D1"/>
    <w:rsid w:val="00622302"/>
    <w:rsid w:val="00632503"/>
    <w:rsid w:val="0063690E"/>
    <w:rsid w:val="00641DE5"/>
    <w:rsid w:val="00675D46"/>
    <w:rsid w:val="00687AA3"/>
    <w:rsid w:val="006A3A2D"/>
    <w:rsid w:val="006B3814"/>
    <w:rsid w:val="006B567A"/>
    <w:rsid w:val="006D6CA5"/>
    <w:rsid w:val="006E0D0B"/>
    <w:rsid w:val="006E5DF6"/>
    <w:rsid w:val="006F5EE9"/>
    <w:rsid w:val="006F7DDC"/>
    <w:rsid w:val="006F7ED2"/>
    <w:rsid w:val="00733960"/>
    <w:rsid w:val="007666BB"/>
    <w:rsid w:val="007E3A05"/>
    <w:rsid w:val="00801DC9"/>
    <w:rsid w:val="00822AAC"/>
    <w:rsid w:val="00822C94"/>
    <w:rsid w:val="00830672"/>
    <w:rsid w:val="00843322"/>
    <w:rsid w:val="00850E53"/>
    <w:rsid w:val="008B0484"/>
    <w:rsid w:val="008B3BB4"/>
    <w:rsid w:val="008C0672"/>
    <w:rsid w:val="008F3605"/>
    <w:rsid w:val="008F3720"/>
    <w:rsid w:val="008F4386"/>
    <w:rsid w:val="00901A0E"/>
    <w:rsid w:val="009040D9"/>
    <w:rsid w:val="00907CE1"/>
    <w:rsid w:val="009106A8"/>
    <w:rsid w:val="00937DE8"/>
    <w:rsid w:val="009604AA"/>
    <w:rsid w:val="00966AD6"/>
    <w:rsid w:val="0097264A"/>
    <w:rsid w:val="00984F66"/>
    <w:rsid w:val="009858B7"/>
    <w:rsid w:val="00995DCB"/>
    <w:rsid w:val="009A5F39"/>
    <w:rsid w:val="009D10F2"/>
    <w:rsid w:val="009D4F75"/>
    <w:rsid w:val="009E35CE"/>
    <w:rsid w:val="009F7F66"/>
    <w:rsid w:val="00A21B58"/>
    <w:rsid w:val="00A24E82"/>
    <w:rsid w:val="00A255D4"/>
    <w:rsid w:val="00A45FF4"/>
    <w:rsid w:val="00A600CA"/>
    <w:rsid w:val="00A66D85"/>
    <w:rsid w:val="00AA210A"/>
    <w:rsid w:val="00AB3CA3"/>
    <w:rsid w:val="00AB695A"/>
    <w:rsid w:val="00AC0BCE"/>
    <w:rsid w:val="00AD22F0"/>
    <w:rsid w:val="00AD27AB"/>
    <w:rsid w:val="00AD55BB"/>
    <w:rsid w:val="00AE60EC"/>
    <w:rsid w:val="00AE7C4D"/>
    <w:rsid w:val="00AF30C0"/>
    <w:rsid w:val="00B033C0"/>
    <w:rsid w:val="00B11CA6"/>
    <w:rsid w:val="00B50072"/>
    <w:rsid w:val="00B51204"/>
    <w:rsid w:val="00BF3B94"/>
    <w:rsid w:val="00C06AAA"/>
    <w:rsid w:val="00C10DD2"/>
    <w:rsid w:val="00C11A5E"/>
    <w:rsid w:val="00C11D74"/>
    <w:rsid w:val="00C12B94"/>
    <w:rsid w:val="00C2487B"/>
    <w:rsid w:val="00C43F67"/>
    <w:rsid w:val="00C80C86"/>
    <w:rsid w:val="00C87449"/>
    <w:rsid w:val="00C97FCE"/>
    <w:rsid w:val="00CA0898"/>
    <w:rsid w:val="00CA5523"/>
    <w:rsid w:val="00CC5188"/>
    <w:rsid w:val="00CD35F7"/>
    <w:rsid w:val="00CE1732"/>
    <w:rsid w:val="00CF2212"/>
    <w:rsid w:val="00D070D3"/>
    <w:rsid w:val="00D4718F"/>
    <w:rsid w:val="00D93FB8"/>
    <w:rsid w:val="00DB2D23"/>
    <w:rsid w:val="00DE19C9"/>
    <w:rsid w:val="00DF0DE1"/>
    <w:rsid w:val="00E13AC9"/>
    <w:rsid w:val="00E25911"/>
    <w:rsid w:val="00E3476C"/>
    <w:rsid w:val="00E36116"/>
    <w:rsid w:val="00E55AE4"/>
    <w:rsid w:val="00E64735"/>
    <w:rsid w:val="00E74794"/>
    <w:rsid w:val="00E80C84"/>
    <w:rsid w:val="00E80DB2"/>
    <w:rsid w:val="00E870A9"/>
    <w:rsid w:val="00E95EDC"/>
    <w:rsid w:val="00EA6785"/>
    <w:rsid w:val="00EB1108"/>
    <w:rsid w:val="00EE58F7"/>
    <w:rsid w:val="00F10D3C"/>
    <w:rsid w:val="00F12EAE"/>
    <w:rsid w:val="00F13385"/>
    <w:rsid w:val="00F16B57"/>
    <w:rsid w:val="00F3124D"/>
    <w:rsid w:val="00F34D92"/>
    <w:rsid w:val="00F4238F"/>
    <w:rsid w:val="00F437B0"/>
    <w:rsid w:val="00F528F3"/>
    <w:rsid w:val="00F63207"/>
    <w:rsid w:val="00F719A8"/>
    <w:rsid w:val="00FF37DD"/>
    <w:rsid w:val="077C7D7F"/>
    <w:rsid w:val="0B0573A4"/>
    <w:rsid w:val="0B6269B1"/>
    <w:rsid w:val="0BCA12D3"/>
    <w:rsid w:val="0D0C0275"/>
    <w:rsid w:val="1137651F"/>
    <w:rsid w:val="123F65E7"/>
    <w:rsid w:val="14327E9B"/>
    <w:rsid w:val="143B164D"/>
    <w:rsid w:val="14D70FCE"/>
    <w:rsid w:val="18507C3F"/>
    <w:rsid w:val="1D0D4029"/>
    <w:rsid w:val="1D860B86"/>
    <w:rsid w:val="1F114822"/>
    <w:rsid w:val="20A25553"/>
    <w:rsid w:val="20B4156C"/>
    <w:rsid w:val="210C78AB"/>
    <w:rsid w:val="227C386A"/>
    <w:rsid w:val="22D06CE3"/>
    <w:rsid w:val="26204BEB"/>
    <w:rsid w:val="288C1F81"/>
    <w:rsid w:val="2E376CC2"/>
    <w:rsid w:val="30135F97"/>
    <w:rsid w:val="319573D8"/>
    <w:rsid w:val="324C6254"/>
    <w:rsid w:val="3270647E"/>
    <w:rsid w:val="32E27AB0"/>
    <w:rsid w:val="342E1852"/>
    <w:rsid w:val="37AB35AA"/>
    <w:rsid w:val="39CF096B"/>
    <w:rsid w:val="41AA11DB"/>
    <w:rsid w:val="45075FBF"/>
    <w:rsid w:val="45176832"/>
    <w:rsid w:val="466A1A58"/>
    <w:rsid w:val="46867F4B"/>
    <w:rsid w:val="482D4FCF"/>
    <w:rsid w:val="4A2639D7"/>
    <w:rsid w:val="4C341CD3"/>
    <w:rsid w:val="4D0F2728"/>
    <w:rsid w:val="4EE21652"/>
    <w:rsid w:val="56983CEB"/>
    <w:rsid w:val="586158FA"/>
    <w:rsid w:val="5BD57585"/>
    <w:rsid w:val="5DB44505"/>
    <w:rsid w:val="63091106"/>
    <w:rsid w:val="64BC678F"/>
    <w:rsid w:val="6832218E"/>
    <w:rsid w:val="6A230279"/>
    <w:rsid w:val="6AAD4F0C"/>
    <w:rsid w:val="6EC41DCE"/>
    <w:rsid w:val="7029088A"/>
    <w:rsid w:val="751D402B"/>
    <w:rsid w:val="760C5A1C"/>
    <w:rsid w:val="773F34A6"/>
    <w:rsid w:val="7BAC3F11"/>
    <w:rsid w:val="7C2F0688"/>
    <w:rsid w:val="7C8731C1"/>
    <w:rsid w:val="7FF9225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nhideWhenUsed="0" w:uiPriority="9"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iPriority="1"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qFormat="1" w:unhideWhenUsed="0" w:uiPriority="0" w:semiHidden="0" w:name="Body Text First Indent"/>
    <w:lsdException w:qFormat="1" w:uiPriority="99" w:semiHidden="0" w:name="Body Text First Indent 2"/>
    <w:lsdException w:uiPriority="99" w:name="Note Heading"/>
    <w:lsdException w:uiPriority="99" w:name="Body Text 2"/>
    <w:lsdException w:uiPriority="99" w:name="Body Text 3"/>
    <w:lsdException w:unhideWhenUsed="0" w:uiPriority="0" w:semiHidden="0"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4"/>
    <w:basedOn w:val="1"/>
    <w:next w:val="1"/>
    <w:qFormat/>
    <w:locked/>
    <w:uiPriority w:val="9"/>
    <w:pPr>
      <w:keepNext/>
      <w:keepLines/>
      <w:spacing w:before="280" w:after="290" w:line="376" w:lineRule="atLeast"/>
      <w:outlineLvl w:val="3"/>
    </w:pPr>
    <w:rPr>
      <w:rFonts w:ascii="Calibri Light" w:hAnsi="Calibri Light" w:eastAsia="宋体" w:cs="Times New Roman"/>
      <w:b/>
      <w:bCs/>
      <w:sz w:val="28"/>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uiPriority w:val="0"/>
    <w:pPr>
      <w:widowControl/>
      <w:tabs>
        <w:tab w:val="right" w:leader="dot" w:pos="7560"/>
      </w:tabs>
      <w:ind w:left="1440" w:hanging="360"/>
      <w:jc w:val="left"/>
    </w:pPr>
    <w:rPr>
      <w:rFonts w:ascii="Arial" w:hAnsi="Arial"/>
      <w:spacing w:val="-5"/>
      <w:kern w:val="0"/>
      <w:sz w:val="20"/>
      <w:szCs w:val="20"/>
      <w:lang w:eastAsia="en-US"/>
    </w:rPr>
  </w:style>
  <w:style w:type="paragraph" w:styleId="4">
    <w:name w:val="Normal Indent"/>
    <w:basedOn w:val="1"/>
    <w:qFormat/>
    <w:uiPriority w:val="0"/>
    <w:pPr>
      <w:ind w:firstLine="420" w:firstLineChars="200"/>
    </w:pPr>
  </w:style>
  <w:style w:type="paragraph" w:styleId="5">
    <w:name w:val="Body Text"/>
    <w:basedOn w:val="1"/>
    <w:next w:val="1"/>
    <w:unhideWhenUsed/>
    <w:qFormat/>
    <w:uiPriority w:val="1"/>
    <w:pPr>
      <w:spacing w:beforeLines="0" w:afterLines="0"/>
    </w:pPr>
    <w:rPr>
      <w:rFonts w:hint="eastAsia"/>
      <w:sz w:val="31"/>
    </w:rPr>
  </w:style>
  <w:style w:type="paragraph" w:styleId="6">
    <w:name w:val="Body Text Indent"/>
    <w:basedOn w:val="1"/>
    <w:next w:val="7"/>
    <w:unhideWhenUsed/>
    <w:qFormat/>
    <w:uiPriority w:val="99"/>
    <w:pPr>
      <w:spacing w:after="120" w:line="360" w:lineRule="auto"/>
      <w:ind w:left="420" w:leftChars="200" w:firstLine="200" w:firstLineChars="200"/>
    </w:pPr>
    <w:rPr>
      <w:rFonts w:ascii="Times New Roman" w:hAnsi="Times New Roman" w:eastAsia="仿宋" w:cs="Times New Roman"/>
      <w:sz w:val="28"/>
      <w:szCs w:val="28"/>
    </w:rPr>
  </w:style>
  <w:style w:type="paragraph" w:styleId="7">
    <w:name w:val="Body Text Indent 2"/>
    <w:basedOn w:val="1"/>
    <w:next w:val="8"/>
    <w:uiPriority w:val="0"/>
    <w:pPr>
      <w:spacing w:after="120" w:line="480" w:lineRule="auto"/>
      <w:ind w:left="420" w:leftChars="200"/>
    </w:pPr>
  </w:style>
  <w:style w:type="paragraph" w:customStyle="1" w:styleId="8">
    <w:name w:val="目录 91"/>
    <w:basedOn w:val="1"/>
    <w:next w:val="1"/>
    <w:qFormat/>
    <w:uiPriority w:val="0"/>
    <w:pPr>
      <w:widowControl w:val="0"/>
      <w:autoSpaceDE/>
      <w:autoSpaceDN/>
      <w:spacing w:before="0" w:after="0" w:line="240" w:lineRule="auto"/>
      <w:ind w:left="3360" w:firstLine="0"/>
      <w:jc w:val="both"/>
    </w:pPr>
    <w:rPr>
      <w:rFonts w:ascii="Calibri" w:eastAsia="宋体"/>
      <w:sz w:val="21"/>
    </w:rPr>
  </w:style>
  <w:style w:type="paragraph" w:styleId="9">
    <w:name w:val="Plain Text"/>
    <w:basedOn w:val="1"/>
    <w:qFormat/>
    <w:uiPriority w:val="0"/>
    <w:rPr>
      <w:rFonts w:ascii="宋体" w:hAnsi="Courier New" w:cs="Courier New"/>
      <w:szCs w:val="21"/>
    </w:rPr>
  </w:style>
  <w:style w:type="paragraph" w:styleId="10">
    <w:name w:val="Date"/>
    <w:basedOn w:val="1"/>
    <w:next w:val="1"/>
    <w:link w:val="23"/>
    <w:semiHidden/>
    <w:qFormat/>
    <w:uiPriority w:val="99"/>
    <w:pPr>
      <w:ind w:left="100" w:leftChars="2500"/>
    </w:pPr>
    <w:rPr>
      <w:kern w:val="0"/>
      <w:sz w:val="20"/>
      <w:szCs w:val="20"/>
    </w:rPr>
  </w:style>
  <w:style w:type="paragraph" w:styleId="11">
    <w:name w:val="footer"/>
    <w:basedOn w:val="1"/>
    <w:link w:val="25"/>
    <w:semiHidden/>
    <w:qFormat/>
    <w:uiPriority w:val="99"/>
    <w:pPr>
      <w:tabs>
        <w:tab w:val="center" w:pos="4153"/>
        <w:tab w:val="right" w:pos="8306"/>
      </w:tabs>
      <w:snapToGrid w:val="0"/>
      <w:jc w:val="left"/>
    </w:pPr>
    <w:rPr>
      <w:kern w:val="0"/>
      <w:sz w:val="18"/>
      <w:szCs w:val="18"/>
    </w:rPr>
  </w:style>
  <w:style w:type="paragraph" w:styleId="12">
    <w:name w:val="header"/>
    <w:basedOn w:val="1"/>
    <w:link w:val="24"/>
    <w:semiHidden/>
    <w:qFormat/>
    <w:uiPriority w:val="99"/>
    <w:pPr>
      <w:pBdr>
        <w:bottom w:val="single" w:color="auto" w:sz="6" w:space="1"/>
      </w:pBdr>
      <w:tabs>
        <w:tab w:val="center" w:pos="4153"/>
        <w:tab w:val="right" w:pos="8306"/>
      </w:tabs>
      <w:snapToGrid w:val="0"/>
      <w:jc w:val="center"/>
    </w:pPr>
    <w:rPr>
      <w:kern w:val="0"/>
      <w:sz w:val="18"/>
      <w:szCs w:val="18"/>
    </w:rPr>
  </w:style>
  <w:style w:type="paragraph" w:styleId="13">
    <w:name w:val="Body Text Indent 3"/>
    <w:basedOn w:val="1"/>
    <w:next w:val="14"/>
    <w:qFormat/>
    <w:uiPriority w:val="0"/>
    <w:pPr>
      <w:spacing w:after="120"/>
      <w:ind w:left="420" w:leftChars="200"/>
    </w:pPr>
    <w:rPr>
      <w:rFonts w:ascii="Times New Roman" w:hAnsi="Times New Roman"/>
      <w:sz w:val="16"/>
      <w:szCs w:val="16"/>
    </w:rPr>
  </w:style>
  <w:style w:type="paragraph" w:customStyle="1" w:styleId="14">
    <w:name w:val="Style23"/>
    <w:basedOn w:val="1"/>
    <w:next w:val="1"/>
    <w:qFormat/>
    <w:uiPriority w:val="99"/>
    <w:rPr>
      <w:rFonts w:ascii="Calibri" w:hAnsi="宋体" w:cs="宋体"/>
      <w:kern w:val="0"/>
      <w:szCs w:val="20"/>
    </w:rPr>
  </w:style>
  <w:style w:type="paragraph" w:styleId="15">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6">
    <w:name w:val="Body Text First Indent"/>
    <w:basedOn w:val="5"/>
    <w:qFormat/>
    <w:uiPriority w:val="0"/>
    <w:pPr>
      <w:snapToGrid/>
      <w:spacing w:after="120" w:line="240" w:lineRule="auto"/>
      <w:ind w:firstLine="420" w:firstLineChars="100"/>
      <w:jc w:val="both"/>
    </w:pPr>
    <w:rPr>
      <w:sz w:val="21"/>
      <w:szCs w:val="24"/>
    </w:rPr>
  </w:style>
  <w:style w:type="paragraph" w:styleId="17">
    <w:name w:val="Body Text First Indent 2"/>
    <w:basedOn w:val="6"/>
    <w:next w:val="4"/>
    <w:unhideWhenUsed/>
    <w:qFormat/>
    <w:uiPriority w:val="99"/>
    <w:pPr>
      <w:snapToGrid w:val="0"/>
      <w:spacing w:after="0" w:line="765" w:lineRule="atLeast"/>
      <w:ind w:left="0" w:leftChars="0" w:firstLine="960" w:firstLineChars="0"/>
      <w:jc w:val="center"/>
      <w:textAlignment w:val="baseline"/>
    </w:pPr>
    <w:rPr>
      <w:rFonts w:eastAsia="华文新魏"/>
      <w:color w:val="000000"/>
      <w:kern w:val="0"/>
      <w:sz w:val="72"/>
      <w:szCs w:val="20"/>
    </w:rPr>
  </w:style>
  <w:style w:type="table" w:styleId="19">
    <w:name w:val="Table Grid"/>
    <w:basedOn w:val="18"/>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locked/>
    <w:uiPriority w:val="0"/>
    <w:rPr>
      <w:b/>
      <w:bCs/>
    </w:rPr>
  </w:style>
  <w:style w:type="paragraph" w:customStyle="1" w:styleId="22">
    <w:name w:val="列出段落1"/>
    <w:basedOn w:val="1"/>
    <w:qFormat/>
    <w:uiPriority w:val="0"/>
    <w:pPr>
      <w:ind w:firstLine="420" w:firstLineChars="200"/>
    </w:pPr>
  </w:style>
  <w:style w:type="character" w:customStyle="1" w:styleId="23">
    <w:name w:val="日期 Char"/>
    <w:link w:val="10"/>
    <w:semiHidden/>
    <w:qFormat/>
    <w:locked/>
    <w:uiPriority w:val="99"/>
    <w:rPr>
      <w:rFonts w:ascii="Calibri" w:hAnsi="Calibri" w:eastAsia="宋体" w:cs="Times New Roman"/>
    </w:rPr>
  </w:style>
  <w:style w:type="character" w:customStyle="1" w:styleId="24">
    <w:name w:val="页眉 Char"/>
    <w:link w:val="12"/>
    <w:semiHidden/>
    <w:qFormat/>
    <w:locked/>
    <w:uiPriority w:val="99"/>
    <w:rPr>
      <w:rFonts w:ascii="Calibri" w:hAnsi="Calibri" w:eastAsia="宋体" w:cs="Times New Roman"/>
      <w:sz w:val="18"/>
      <w:szCs w:val="18"/>
    </w:rPr>
  </w:style>
  <w:style w:type="character" w:customStyle="1" w:styleId="25">
    <w:name w:val="页脚 Char"/>
    <w:link w:val="11"/>
    <w:semiHidden/>
    <w:qFormat/>
    <w:locked/>
    <w:uiPriority w:val="99"/>
    <w:rPr>
      <w:rFonts w:ascii="Calibri" w:hAnsi="Calibri" w:eastAsia="宋体" w:cs="Times New Roman"/>
      <w:sz w:val="18"/>
      <w:szCs w:val="18"/>
    </w:rPr>
  </w:style>
  <w:style w:type="paragraph" w:customStyle="1" w:styleId="26">
    <w:name w:val="Normal_0_1"/>
    <w:qFormat/>
    <w:uiPriority w:val="0"/>
    <w:rPr>
      <w:rFonts w:ascii="Times New Roman" w:hAnsi="Times New Roman" w:eastAsia="宋体" w:cs="Times New Roman"/>
      <w:sz w:val="24"/>
      <w:szCs w:val="24"/>
    </w:rPr>
  </w:style>
  <w:style w:type="paragraph" w:customStyle="1" w:styleId="27">
    <w:name w:val="Default"/>
    <w:qFormat/>
    <w:uiPriority w:val="0"/>
    <w:pPr>
      <w:widowControl w:val="0"/>
      <w:autoSpaceDE w:val="0"/>
      <w:autoSpaceDN w:val="0"/>
      <w:adjustRightInd w:val="0"/>
    </w:pPr>
    <w:rPr>
      <w:rFonts w:ascii="黑体" w:hAnsi="Times New Roman" w:eastAsia="黑体" w:cs="Times New Roman"/>
      <w:lang w:val="en-US" w:eastAsia="zh-CN" w:bidi="ar-SA"/>
    </w:rPr>
  </w:style>
  <w:style w:type="paragraph" w:customStyle="1" w:styleId="28">
    <w:name w:val="列表段落1"/>
    <w:basedOn w:val="1"/>
    <w:qFormat/>
    <w:uiPriority w:val="0"/>
    <w:pPr>
      <w:spacing w:line="460" w:lineRule="exact"/>
      <w:ind w:firstLine="420" w:firstLineChars="200"/>
    </w:pPr>
    <w:rPr>
      <w:spacing w:val="6"/>
      <w:sz w:val="24"/>
    </w:rPr>
  </w:style>
  <w:style w:type="paragraph" w:customStyle="1" w:styleId="29">
    <w:name w:val="p0"/>
    <w:basedOn w:val="1"/>
    <w:qFormat/>
    <w:uiPriority w:val="0"/>
    <w:pPr>
      <w:widowControl/>
    </w:pPr>
    <w:rPr>
      <w:rFonts w:ascii="宋体" w:hAnsi="宋体"/>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11602</Words>
  <Characters>12168</Characters>
  <Lines>2</Lines>
  <Paragraphs>1</Paragraphs>
  <TotalTime>0</TotalTime>
  <ScaleCrop>false</ScaleCrop>
  <LinksUpToDate>false</LinksUpToDate>
  <CharactersWithSpaces>12234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2021-04-27T01:10:00Z</dcterms:created>
  <dc:creator>Administrator</dc:creator>
  <cp:lastModifiedBy>1234.</cp:lastModifiedBy>
  <cp:lastPrinted>2021-08-18T02:00:00Z</cp:lastPrinted>
  <dcterms:modified xsi:type="dcterms:W3CDTF">2022-06-09T16:18:36Z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C5A9BD3BDE5443EE8CE1B63CE8D2EFE0</vt:lpwstr>
  </property>
  <property fmtid="{D5CDD505-2E9C-101B-9397-08002B2CF9AE}" pid="4" name="commondata">
    <vt:lpwstr>eyJoZGlkIjoiZDUyYmI2NDMzNGJlOWY1ZDUxY2U3YmJiNTY4ZWQxZDEifQ==</vt:lpwstr>
  </property>
</Properties>
</file>