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jc w:val="center"/>
        <w:outlineLvl w:val="0"/>
        <w:rPr>
          <w:rFonts w:eastAsia="黑体"/>
          <w:sz w:val="32"/>
          <w:szCs w:val="32"/>
        </w:rPr>
      </w:pPr>
      <w:r>
        <w:rPr>
          <w:rFonts w:hint="eastAsia" w:eastAsia="黑体"/>
          <w:sz w:val="32"/>
          <w:szCs w:val="32"/>
        </w:rPr>
        <w:t>第三章 评审办法</w:t>
      </w:r>
    </w:p>
    <w:p>
      <w:pPr>
        <w:adjustRightInd w:val="0"/>
        <w:snapToGrid w:val="0"/>
        <w:spacing w:line="600" w:lineRule="exact"/>
        <w:rPr>
          <w:rFonts w:eastAsia="华文中宋" w:cs="仿宋"/>
          <w:b/>
          <w:bCs/>
          <w:szCs w:val="21"/>
        </w:rPr>
      </w:pPr>
      <w:r>
        <w:rPr>
          <w:rFonts w:hint="eastAsia" w:eastAsia="华文中宋" w:cs="仿宋"/>
          <w:b/>
          <w:bCs/>
          <w:szCs w:val="21"/>
        </w:rPr>
        <w:t>评审办法前附表</w:t>
      </w:r>
    </w:p>
    <w:tbl>
      <w:tblPr>
        <w:tblStyle w:val="7"/>
        <w:tblW w:w="90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30"/>
        <w:gridCol w:w="1310"/>
        <w:gridCol w:w="1961"/>
        <w:gridCol w:w="493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40" w:type="dxa"/>
            <w:gridSpan w:val="2"/>
            <w:noWrap w:val="0"/>
            <w:vAlign w:val="center"/>
          </w:tcPr>
          <w:p>
            <w:pPr>
              <w:adjustRightInd w:val="0"/>
              <w:snapToGrid w:val="0"/>
              <w:spacing w:line="360" w:lineRule="auto"/>
              <w:jc w:val="both"/>
              <w:rPr>
                <w:rFonts w:cs="仿宋"/>
                <w:szCs w:val="21"/>
              </w:rPr>
            </w:pPr>
            <w:r>
              <w:rPr>
                <w:rFonts w:hint="eastAsia" w:cs="仿宋"/>
                <w:szCs w:val="21"/>
              </w:rPr>
              <w:t>条款号及名称</w:t>
            </w:r>
          </w:p>
        </w:tc>
        <w:tc>
          <w:tcPr>
            <w:tcW w:w="1961" w:type="dxa"/>
            <w:noWrap w:val="0"/>
            <w:vAlign w:val="center"/>
          </w:tcPr>
          <w:p>
            <w:pPr>
              <w:adjustRightInd w:val="0"/>
              <w:snapToGrid w:val="0"/>
              <w:spacing w:line="360" w:lineRule="auto"/>
              <w:jc w:val="both"/>
              <w:rPr>
                <w:rFonts w:cs="仿宋"/>
                <w:szCs w:val="21"/>
              </w:rPr>
            </w:pPr>
            <w:r>
              <w:rPr>
                <w:rFonts w:hint="eastAsia" w:cs="仿宋"/>
                <w:szCs w:val="21"/>
              </w:rPr>
              <w:t>评审因素</w:t>
            </w:r>
          </w:p>
        </w:tc>
        <w:tc>
          <w:tcPr>
            <w:tcW w:w="4938" w:type="dxa"/>
            <w:noWrap w:val="0"/>
            <w:vAlign w:val="center"/>
          </w:tcPr>
          <w:p>
            <w:pPr>
              <w:adjustRightInd w:val="0"/>
              <w:snapToGrid w:val="0"/>
              <w:spacing w:line="360" w:lineRule="auto"/>
              <w:jc w:val="both"/>
              <w:rPr>
                <w:rFonts w:cs="仿宋"/>
                <w:szCs w:val="21"/>
              </w:rPr>
            </w:pPr>
            <w:r>
              <w:rPr>
                <w:rFonts w:hint="eastAsia" w:cs="仿宋"/>
                <w:szCs w:val="21"/>
              </w:rPr>
              <w:t>评审标准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0" w:type="dxa"/>
            <w:noWrap w:val="0"/>
            <w:vAlign w:val="center"/>
          </w:tcPr>
          <w:p>
            <w:pPr>
              <w:adjustRightInd w:val="0"/>
              <w:snapToGrid w:val="0"/>
              <w:spacing w:line="360" w:lineRule="auto"/>
              <w:jc w:val="both"/>
              <w:rPr>
                <w:rFonts w:cs="仿宋"/>
                <w:szCs w:val="21"/>
              </w:rPr>
            </w:pPr>
            <w:r>
              <w:rPr>
                <w:rFonts w:hint="eastAsia" w:cs="仿宋"/>
                <w:szCs w:val="21"/>
              </w:rPr>
              <w:t>1</w:t>
            </w:r>
          </w:p>
        </w:tc>
        <w:tc>
          <w:tcPr>
            <w:tcW w:w="1310" w:type="dxa"/>
            <w:noWrap w:val="0"/>
            <w:vAlign w:val="center"/>
          </w:tcPr>
          <w:p>
            <w:pPr>
              <w:adjustRightInd w:val="0"/>
              <w:snapToGrid w:val="0"/>
              <w:spacing w:line="360" w:lineRule="auto"/>
              <w:jc w:val="both"/>
              <w:rPr>
                <w:rFonts w:cs="仿宋"/>
                <w:szCs w:val="21"/>
              </w:rPr>
            </w:pPr>
            <w:r>
              <w:rPr>
                <w:rFonts w:hint="eastAsia" w:cs="仿宋"/>
                <w:szCs w:val="21"/>
              </w:rPr>
              <w:t>评审方法</w:t>
            </w:r>
          </w:p>
        </w:tc>
        <w:tc>
          <w:tcPr>
            <w:tcW w:w="1961" w:type="dxa"/>
            <w:noWrap w:val="0"/>
            <w:vAlign w:val="center"/>
          </w:tcPr>
          <w:p>
            <w:pPr>
              <w:adjustRightInd w:val="0"/>
              <w:snapToGrid w:val="0"/>
              <w:spacing w:line="360" w:lineRule="auto"/>
              <w:jc w:val="both"/>
              <w:rPr>
                <w:rFonts w:cs="仿宋"/>
                <w:szCs w:val="21"/>
              </w:rPr>
            </w:pPr>
            <w:r>
              <w:rPr>
                <w:rFonts w:hint="eastAsia" w:cs="仿宋"/>
                <w:szCs w:val="21"/>
              </w:rPr>
              <w:t>评审方法</w:t>
            </w:r>
          </w:p>
        </w:tc>
        <w:tc>
          <w:tcPr>
            <w:tcW w:w="4938" w:type="dxa"/>
            <w:noWrap w:val="0"/>
            <w:vAlign w:val="center"/>
          </w:tcPr>
          <w:p>
            <w:pPr>
              <w:adjustRightInd w:val="0"/>
              <w:snapToGrid w:val="0"/>
              <w:spacing w:line="360" w:lineRule="auto"/>
              <w:jc w:val="both"/>
              <w:rPr>
                <w:rFonts w:cs="仿宋"/>
                <w:szCs w:val="21"/>
              </w:rPr>
            </w:pPr>
            <w:r>
              <w:rPr>
                <w:rFonts w:hint="eastAsia"/>
                <w:lang w:eastAsia="zh-CN"/>
              </w:rPr>
              <w:t>☑</w:t>
            </w:r>
            <w:r>
              <w:rPr>
                <w:rFonts w:hint="eastAsia" w:cs="仿宋"/>
                <w:szCs w:val="21"/>
              </w:rPr>
              <w:t>最低价法</w:t>
            </w:r>
          </w:p>
          <w:p>
            <w:pPr>
              <w:adjustRightInd w:val="0"/>
              <w:snapToGrid w:val="0"/>
              <w:spacing w:line="360" w:lineRule="auto"/>
              <w:jc w:val="both"/>
              <w:rPr>
                <w:rFonts w:cs="仿宋"/>
                <w:szCs w:val="21"/>
              </w:rPr>
            </w:pPr>
            <w:r>
              <w:rPr>
                <w:rFonts w:hint="eastAsia"/>
                <w:lang w:eastAsia="zh-CN"/>
              </w:rPr>
              <w:t>□</w:t>
            </w:r>
            <w:r>
              <w:rPr>
                <w:rFonts w:hint="eastAsia" w:cs="仿宋"/>
                <w:szCs w:val="21"/>
              </w:rPr>
              <w:t>综合评审法</w:t>
            </w:r>
          </w:p>
          <w:p>
            <w:pPr>
              <w:adjustRightInd w:val="0"/>
              <w:snapToGrid w:val="0"/>
              <w:spacing w:line="360" w:lineRule="auto"/>
              <w:jc w:val="both"/>
            </w:pPr>
            <w:r>
              <w:rPr>
                <w:rFonts w:hint="eastAsia"/>
                <w:lang w:eastAsia="zh-CN"/>
              </w:rPr>
              <w:t>□</w:t>
            </w:r>
            <w:r>
              <w:rPr>
                <w:rFonts w:hint="eastAsia" w:cs="仿宋"/>
                <w:szCs w:val="21"/>
              </w:rPr>
              <w:t>投票法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0" w:type="dxa"/>
            <w:vMerge w:val="restart"/>
            <w:noWrap w:val="0"/>
            <w:vAlign w:val="center"/>
          </w:tcPr>
          <w:p>
            <w:pPr>
              <w:adjustRightInd w:val="0"/>
              <w:snapToGrid w:val="0"/>
              <w:spacing w:line="360" w:lineRule="auto"/>
              <w:jc w:val="both"/>
              <w:rPr>
                <w:rFonts w:cs="仿宋"/>
                <w:szCs w:val="21"/>
              </w:rPr>
            </w:pPr>
            <w:r>
              <w:rPr>
                <w:rFonts w:hint="eastAsia" w:cs="仿宋"/>
                <w:szCs w:val="21"/>
              </w:rPr>
              <w:t>2.1.1</w:t>
            </w:r>
          </w:p>
        </w:tc>
        <w:tc>
          <w:tcPr>
            <w:tcW w:w="1310" w:type="dxa"/>
            <w:vMerge w:val="restart"/>
            <w:noWrap w:val="0"/>
            <w:vAlign w:val="center"/>
          </w:tcPr>
          <w:p>
            <w:pPr>
              <w:adjustRightInd w:val="0"/>
              <w:snapToGrid w:val="0"/>
              <w:spacing w:line="360" w:lineRule="auto"/>
              <w:jc w:val="both"/>
              <w:rPr>
                <w:rFonts w:cs="仿宋"/>
                <w:szCs w:val="21"/>
              </w:rPr>
            </w:pPr>
            <w:r>
              <w:rPr>
                <w:rFonts w:hint="eastAsia" w:cs="仿宋"/>
                <w:szCs w:val="21"/>
              </w:rPr>
              <w:t>形式评审标准</w:t>
            </w:r>
          </w:p>
        </w:tc>
        <w:tc>
          <w:tcPr>
            <w:tcW w:w="1961" w:type="dxa"/>
            <w:noWrap w:val="0"/>
            <w:vAlign w:val="center"/>
          </w:tcPr>
          <w:p>
            <w:pPr>
              <w:adjustRightInd w:val="0"/>
              <w:snapToGrid w:val="0"/>
              <w:spacing w:line="360" w:lineRule="auto"/>
              <w:jc w:val="both"/>
              <w:rPr>
                <w:rFonts w:cs="仿宋"/>
                <w:szCs w:val="21"/>
              </w:rPr>
            </w:pPr>
            <w:r>
              <w:rPr>
                <w:rFonts w:hint="eastAsia" w:cs="仿宋"/>
                <w:szCs w:val="21"/>
              </w:rPr>
              <w:t>响应单位名称</w:t>
            </w:r>
          </w:p>
        </w:tc>
        <w:tc>
          <w:tcPr>
            <w:tcW w:w="4938" w:type="dxa"/>
            <w:noWrap w:val="0"/>
            <w:vAlign w:val="center"/>
          </w:tcPr>
          <w:p>
            <w:pPr>
              <w:adjustRightInd w:val="0"/>
              <w:snapToGrid w:val="0"/>
              <w:spacing w:line="360" w:lineRule="auto"/>
              <w:jc w:val="both"/>
              <w:rPr>
                <w:rFonts w:cs="仿宋"/>
                <w:szCs w:val="21"/>
              </w:rPr>
            </w:pPr>
            <w:r>
              <w:rPr>
                <w:rFonts w:hint="eastAsia" w:cs="仿宋"/>
                <w:szCs w:val="21"/>
              </w:rPr>
              <w:t>与市场监管部门或其他行政机关颁发的可以合法开展业务的执照或证书一致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0" w:type="dxa"/>
            <w:vMerge w:val="continue"/>
            <w:noWrap w:val="0"/>
            <w:vAlign w:val="center"/>
          </w:tcPr>
          <w:p>
            <w:pPr>
              <w:adjustRightInd w:val="0"/>
              <w:snapToGrid w:val="0"/>
              <w:spacing w:line="360" w:lineRule="auto"/>
              <w:jc w:val="both"/>
              <w:rPr>
                <w:rFonts w:cs="仿宋"/>
                <w:szCs w:val="21"/>
              </w:rPr>
            </w:pPr>
          </w:p>
        </w:tc>
        <w:tc>
          <w:tcPr>
            <w:tcW w:w="1310" w:type="dxa"/>
            <w:vMerge w:val="continue"/>
            <w:noWrap w:val="0"/>
            <w:vAlign w:val="center"/>
          </w:tcPr>
          <w:p>
            <w:pPr>
              <w:adjustRightInd w:val="0"/>
              <w:snapToGrid w:val="0"/>
              <w:spacing w:line="360" w:lineRule="auto"/>
              <w:jc w:val="both"/>
              <w:rPr>
                <w:rFonts w:cs="仿宋"/>
                <w:szCs w:val="21"/>
              </w:rPr>
            </w:pPr>
          </w:p>
        </w:tc>
        <w:tc>
          <w:tcPr>
            <w:tcW w:w="1961" w:type="dxa"/>
            <w:noWrap w:val="0"/>
            <w:vAlign w:val="center"/>
          </w:tcPr>
          <w:p>
            <w:pPr>
              <w:adjustRightInd w:val="0"/>
              <w:snapToGrid w:val="0"/>
              <w:spacing w:line="360" w:lineRule="auto"/>
              <w:jc w:val="both"/>
              <w:rPr>
                <w:rFonts w:cs="仿宋"/>
                <w:szCs w:val="21"/>
              </w:rPr>
            </w:pPr>
            <w:r>
              <w:rPr>
                <w:rFonts w:hint="eastAsia" w:cs="仿宋"/>
                <w:szCs w:val="21"/>
              </w:rPr>
              <w:t>响应文件签字盖章</w:t>
            </w:r>
          </w:p>
        </w:tc>
        <w:tc>
          <w:tcPr>
            <w:tcW w:w="4938" w:type="dxa"/>
            <w:noWrap w:val="0"/>
            <w:vAlign w:val="center"/>
          </w:tcPr>
          <w:p>
            <w:pPr>
              <w:adjustRightInd w:val="0"/>
              <w:snapToGrid w:val="0"/>
              <w:spacing w:line="360" w:lineRule="auto"/>
              <w:jc w:val="both"/>
              <w:rPr>
                <w:rFonts w:cs="仿宋"/>
                <w:szCs w:val="21"/>
              </w:rPr>
            </w:pPr>
            <w:r>
              <w:rPr>
                <w:rFonts w:hint="eastAsia" w:cs="仿宋"/>
                <w:szCs w:val="21"/>
              </w:rPr>
              <w:t>符合第二章第3.7.2项及第3.7.3项的规定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 w:hRule="atLeast"/>
          <w:jc w:val="center"/>
        </w:trPr>
        <w:tc>
          <w:tcPr>
            <w:tcW w:w="830" w:type="dxa"/>
            <w:vMerge w:val="continue"/>
            <w:noWrap w:val="0"/>
            <w:vAlign w:val="center"/>
          </w:tcPr>
          <w:p>
            <w:pPr>
              <w:adjustRightInd w:val="0"/>
              <w:snapToGrid w:val="0"/>
              <w:spacing w:line="360" w:lineRule="auto"/>
              <w:jc w:val="both"/>
              <w:rPr>
                <w:rFonts w:cs="仿宋"/>
                <w:szCs w:val="21"/>
              </w:rPr>
            </w:pPr>
          </w:p>
        </w:tc>
        <w:tc>
          <w:tcPr>
            <w:tcW w:w="1310" w:type="dxa"/>
            <w:vMerge w:val="continue"/>
            <w:noWrap w:val="0"/>
            <w:vAlign w:val="center"/>
          </w:tcPr>
          <w:p>
            <w:pPr>
              <w:adjustRightInd w:val="0"/>
              <w:snapToGrid w:val="0"/>
              <w:spacing w:line="360" w:lineRule="auto"/>
              <w:jc w:val="both"/>
              <w:rPr>
                <w:rFonts w:cs="仿宋"/>
                <w:szCs w:val="21"/>
              </w:rPr>
            </w:pPr>
          </w:p>
        </w:tc>
        <w:tc>
          <w:tcPr>
            <w:tcW w:w="1961" w:type="dxa"/>
            <w:noWrap w:val="0"/>
            <w:vAlign w:val="center"/>
          </w:tcPr>
          <w:p>
            <w:pPr>
              <w:adjustRightInd w:val="0"/>
              <w:snapToGrid w:val="0"/>
              <w:spacing w:line="360" w:lineRule="auto"/>
              <w:jc w:val="both"/>
              <w:rPr>
                <w:rFonts w:cs="仿宋"/>
                <w:szCs w:val="21"/>
              </w:rPr>
            </w:pPr>
            <w:r>
              <w:rPr>
                <w:rFonts w:hint="eastAsia" w:cs="仿宋"/>
                <w:szCs w:val="21"/>
              </w:rPr>
              <w:t>联合体协议书</w:t>
            </w:r>
          </w:p>
        </w:tc>
        <w:tc>
          <w:tcPr>
            <w:tcW w:w="4938" w:type="dxa"/>
            <w:noWrap w:val="0"/>
            <w:vAlign w:val="center"/>
          </w:tcPr>
          <w:p>
            <w:pPr>
              <w:adjustRightInd w:val="0"/>
              <w:snapToGrid w:val="0"/>
              <w:spacing w:line="360" w:lineRule="auto"/>
              <w:jc w:val="both"/>
              <w:rPr>
                <w:rFonts w:hint="default" w:eastAsia="宋体" w:cs="仿宋"/>
                <w:szCs w:val="21"/>
                <w:lang w:val="en-US" w:eastAsia="zh-CN"/>
              </w:rPr>
            </w:pPr>
            <w:r>
              <w:rPr>
                <w:rFonts w:hint="eastAsia"/>
                <w:u w:val="none"/>
                <w:lang w:val="en-US" w:eastAsia="zh-CN"/>
              </w:rPr>
              <w:t>不</w:t>
            </w:r>
            <w:r>
              <w:rPr>
                <w:rFonts w:hint="eastAsia" w:cs="仿宋"/>
                <w:szCs w:val="21"/>
                <w:u w:val="none"/>
                <w:lang w:val="en-US" w:eastAsia="zh-CN"/>
              </w:rPr>
              <w:t>适用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0" w:type="dxa"/>
            <w:vMerge w:val="continue"/>
            <w:noWrap w:val="0"/>
            <w:vAlign w:val="center"/>
          </w:tcPr>
          <w:p>
            <w:pPr>
              <w:adjustRightInd w:val="0"/>
              <w:snapToGrid w:val="0"/>
              <w:spacing w:line="360" w:lineRule="auto"/>
              <w:jc w:val="both"/>
              <w:rPr>
                <w:rFonts w:cs="仿宋"/>
                <w:szCs w:val="21"/>
              </w:rPr>
            </w:pPr>
          </w:p>
        </w:tc>
        <w:tc>
          <w:tcPr>
            <w:tcW w:w="1310" w:type="dxa"/>
            <w:vMerge w:val="continue"/>
            <w:noWrap w:val="0"/>
            <w:vAlign w:val="center"/>
          </w:tcPr>
          <w:p>
            <w:pPr>
              <w:adjustRightInd w:val="0"/>
              <w:snapToGrid w:val="0"/>
              <w:spacing w:line="360" w:lineRule="auto"/>
              <w:jc w:val="both"/>
              <w:rPr>
                <w:rFonts w:cs="仿宋"/>
                <w:szCs w:val="21"/>
              </w:rPr>
            </w:pPr>
          </w:p>
        </w:tc>
        <w:tc>
          <w:tcPr>
            <w:tcW w:w="1961" w:type="dxa"/>
            <w:noWrap w:val="0"/>
            <w:vAlign w:val="center"/>
          </w:tcPr>
          <w:p>
            <w:pPr>
              <w:adjustRightInd w:val="0"/>
              <w:snapToGrid w:val="0"/>
              <w:spacing w:line="360" w:lineRule="auto"/>
              <w:jc w:val="both"/>
              <w:rPr>
                <w:rFonts w:cs="仿宋"/>
                <w:szCs w:val="21"/>
                <w:highlight w:val="none"/>
              </w:rPr>
            </w:pPr>
            <w:r>
              <w:rPr>
                <w:rFonts w:hint="eastAsia" w:cs="仿宋"/>
                <w:szCs w:val="21"/>
                <w:highlight w:val="none"/>
              </w:rPr>
              <w:t>响应函中实质性内容</w:t>
            </w:r>
          </w:p>
        </w:tc>
        <w:tc>
          <w:tcPr>
            <w:tcW w:w="4938" w:type="dxa"/>
            <w:noWrap w:val="0"/>
            <w:vAlign w:val="center"/>
          </w:tcPr>
          <w:p>
            <w:pPr>
              <w:adjustRightInd w:val="0"/>
              <w:snapToGrid w:val="0"/>
              <w:spacing w:line="360" w:lineRule="auto"/>
              <w:jc w:val="both"/>
              <w:rPr>
                <w:rFonts w:cs="仿宋"/>
                <w:szCs w:val="21"/>
                <w:highlight w:val="none"/>
              </w:rPr>
            </w:pPr>
            <w:r>
              <w:rPr>
                <w:rFonts w:hint="eastAsia" w:cs="仿宋"/>
                <w:szCs w:val="21"/>
                <w:highlight w:val="none"/>
              </w:rPr>
              <w:t>服务内容、服务范围、服务期限、报价符合竞争性谈判文件要求。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0" w:type="dxa"/>
            <w:vMerge w:val="restart"/>
            <w:noWrap w:val="0"/>
            <w:vAlign w:val="center"/>
          </w:tcPr>
          <w:p>
            <w:pPr>
              <w:adjustRightInd w:val="0"/>
              <w:snapToGrid w:val="0"/>
              <w:spacing w:line="360" w:lineRule="auto"/>
              <w:jc w:val="both"/>
              <w:rPr>
                <w:rFonts w:cs="仿宋"/>
                <w:szCs w:val="21"/>
              </w:rPr>
            </w:pPr>
            <w:r>
              <w:rPr>
                <w:rFonts w:hint="eastAsia" w:cs="仿宋"/>
                <w:szCs w:val="21"/>
              </w:rPr>
              <w:t>2.1.2</w:t>
            </w:r>
          </w:p>
        </w:tc>
        <w:tc>
          <w:tcPr>
            <w:tcW w:w="1310" w:type="dxa"/>
            <w:vMerge w:val="restart"/>
            <w:noWrap w:val="0"/>
            <w:vAlign w:val="center"/>
          </w:tcPr>
          <w:p>
            <w:pPr>
              <w:adjustRightInd w:val="0"/>
              <w:snapToGrid w:val="0"/>
              <w:spacing w:line="360" w:lineRule="auto"/>
              <w:jc w:val="both"/>
              <w:rPr>
                <w:rFonts w:cs="仿宋"/>
                <w:szCs w:val="21"/>
              </w:rPr>
            </w:pPr>
            <w:r>
              <w:rPr>
                <w:rFonts w:hint="eastAsia" w:cs="仿宋"/>
                <w:szCs w:val="21"/>
              </w:rPr>
              <w:t>资格评审标准</w:t>
            </w:r>
          </w:p>
        </w:tc>
        <w:tc>
          <w:tcPr>
            <w:tcW w:w="1961" w:type="dxa"/>
            <w:noWrap w:val="0"/>
            <w:vAlign w:val="center"/>
          </w:tcPr>
          <w:p>
            <w:pPr>
              <w:adjustRightInd w:val="0"/>
              <w:snapToGrid w:val="0"/>
              <w:spacing w:line="360" w:lineRule="auto"/>
              <w:jc w:val="both"/>
              <w:rPr>
                <w:rFonts w:cs="仿宋"/>
                <w:szCs w:val="21"/>
              </w:rPr>
            </w:pPr>
            <w:r>
              <w:rPr>
                <w:rFonts w:hint="eastAsia" w:cs="仿宋"/>
                <w:szCs w:val="21"/>
              </w:rPr>
              <w:t>依法设立</w:t>
            </w:r>
          </w:p>
        </w:tc>
        <w:tc>
          <w:tcPr>
            <w:tcW w:w="4938" w:type="dxa"/>
            <w:noWrap w:val="0"/>
            <w:vAlign w:val="center"/>
          </w:tcPr>
          <w:p>
            <w:pPr>
              <w:adjustRightInd w:val="0"/>
              <w:snapToGrid w:val="0"/>
              <w:spacing w:line="360" w:lineRule="auto"/>
              <w:jc w:val="both"/>
              <w:rPr>
                <w:rFonts w:cs="仿宋"/>
                <w:szCs w:val="21"/>
              </w:rPr>
            </w:pPr>
            <w:r>
              <w:rPr>
                <w:rFonts w:hint="eastAsia" w:cs="仿宋"/>
                <w:szCs w:val="21"/>
              </w:rPr>
              <w:t>符合第一章第3.</w:t>
            </w:r>
            <w:r>
              <w:rPr>
                <w:rFonts w:hint="eastAsia" w:cs="仿宋"/>
                <w:szCs w:val="21"/>
                <w:lang w:val="en-US" w:eastAsia="zh-CN"/>
              </w:rPr>
              <w:t>2</w:t>
            </w:r>
            <w:r>
              <w:rPr>
                <w:rFonts w:hint="eastAsia" w:cs="仿宋"/>
                <w:szCs w:val="21"/>
              </w:rPr>
              <w:t>款及响应单位须知前附表第3.5（1）款规定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0" w:type="dxa"/>
            <w:vMerge w:val="continue"/>
            <w:noWrap w:val="0"/>
            <w:vAlign w:val="center"/>
          </w:tcPr>
          <w:p>
            <w:pPr>
              <w:adjustRightInd w:val="0"/>
              <w:snapToGrid w:val="0"/>
              <w:spacing w:line="360" w:lineRule="auto"/>
              <w:jc w:val="both"/>
              <w:rPr>
                <w:rFonts w:cs="仿宋"/>
                <w:szCs w:val="21"/>
              </w:rPr>
            </w:pPr>
          </w:p>
        </w:tc>
        <w:tc>
          <w:tcPr>
            <w:tcW w:w="1310" w:type="dxa"/>
            <w:vMerge w:val="continue"/>
            <w:noWrap w:val="0"/>
            <w:vAlign w:val="center"/>
          </w:tcPr>
          <w:p>
            <w:pPr>
              <w:adjustRightInd w:val="0"/>
              <w:snapToGrid w:val="0"/>
              <w:spacing w:line="360" w:lineRule="auto"/>
              <w:jc w:val="both"/>
              <w:rPr>
                <w:rFonts w:cs="仿宋"/>
                <w:szCs w:val="21"/>
              </w:rPr>
            </w:pPr>
          </w:p>
        </w:tc>
        <w:tc>
          <w:tcPr>
            <w:tcW w:w="1961" w:type="dxa"/>
            <w:noWrap w:val="0"/>
            <w:vAlign w:val="center"/>
          </w:tcPr>
          <w:p>
            <w:pPr>
              <w:adjustRightInd w:val="0"/>
              <w:snapToGrid w:val="0"/>
              <w:spacing w:line="360" w:lineRule="auto"/>
              <w:jc w:val="both"/>
              <w:rPr>
                <w:rFonts w:cs="仿宋"/>
                <w:szCs w:val="21"/>
              </w:rPr>
            </w:pPr>
            <w:r>
              <w:rPr>
                <w:rFonts w:hint="eastAsia" w:cs="仿宋"/>
                <w:szCs w:val="21"/>
              </w:rPr>
              <w:t>资质要求</w:t>
            </w:r>
          </w:p>
        </w:tc>
        <w:tc>
          <w:tcPr>
            <w:tcW w:w="4938" w:type="dxa"/>
            <w:noWrap w:val="0"/>
            <w:vAlign w:val="center"/>
          </w:tcPr>
          <w:p>
            <w:pPr>
              <w:adjustRightInd w:val="0"/>
              <w:snapToGrid w:val="0"/>
              <w:spacing w:line="360" w:lineRule="auto"/>
              <w:jc w:val="both"/>
              <w:rPr>
                <w:rFonts w:cs="仿宋"/>
                <w:szCs w:val="21"/>
              </w:rPr>
            </w:pPr>
            <w:r>
              <w:rPr>
                <w:rFonts w:hint="eastAsia" w:cs="仿宋"/>
                <w:szCs w:val="21"/>
              </w:rPr>
              <w:t>符合第一章第3.</w:t>
            </w:r>
            <w:r>
              <w:rPr>
                <w:rFonts w:hint="eastAsia" w:cs="仿宋"/>
                <w:szCs w:val="21"/>
                <w:lang w:val="en-US" w:eastAsia="zh-CN"/>
              </w:rPr>
              <w:t>2</w:t>
            </w:r>
            <w:r>
              <w:rPr>
                <w:rFonts w:hint="eastAsia" w:cs="仿宋"/>
                <w:szCs w:val="21"/>
              </w:rPr>
              <w:t>款及响应单位须知前附表第3.5（2）款规定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0" w:type="dxa"/>
            <w:vMerge w:val="continue"/>
            <w:noWrap w:val="0"/>
            <w:vAlign w:val="center"/>
          </w:tcPr>
          <w:p>
            <w:pPr>
              <w:adjustRightInd w:val="0"/>
              <w:snapToGrid w:val="0"/>
              <w:spacing w:line="360" w:lineRule="auto"/>
              <w:jc w:val="both"/>
              <w:rPr>
                <w:rFonts w:cs="仿宋"/>
                <w:szCs w:val="21"/>
              </w:rPr>
            </w:pPr>
          </w:p>
        </w:tc>
        <w:tc>
          <w:tcPr>
            <w:tcW w:w="1310" w:type="dxa"/>
            <w:vMerge w:val="continue"/>
            <w:noWrap w:val="0"/>
            <w:vAlign w:val="center"/>
          </w:tcPr>
          <w:p>
            <w:pPr>
              <w:adjustRightInd w:val="0"/>
              <w:snapToGrid w:val="0"/>
              <w:spacing w:line="360" w:lineRule="auto"/>
              <w:jc w:val="both"/>
              <w:rPr>
                <w:rFonts w:cs="仿宋"/>
                <w:szCs w:val="21"/>
              </w:rPr>
            </w:pPr>
          </w:p>
        </w:tc>
        <w:tc>
          <w:tcPr>
            <w:tcW w:w="1961" w:type="dxa"/>
            <w:noWrap w:val="0"/>
            <w:vAlign w:val="center"/>
          </w:tcPr>
          <w:p>
            <w:pPr>
              <w:adjustRightInd w:val="0"/>
              <w:snapToGrid w:val="0"/>
              <w:spacing w:line="360" w:lineRule="auto"/>
              <w:jc w:val="both"/>
              <w:rPr>
                <w:rFonts w:cs="仿宋"/>
                <w:szCs w:val="21"/>
              </w:rPr>
            </w:pPr>
            <w:r>
              <w:rPr>
                <w:rFonts w:hint="eastAsia" w:cs="仿宋"/>
                <w:szCs w:val="21"/>
              </w:rPr>
              <w:t>财务要求</w:t>
            </w:r>
          </w:p>
        </w:tc>
        <w:tc>
          <w:tcPr>
            <w:tcW w:w="4938" w:type="dxa"/>
            <w:noWrap w:val="0"/>
            <w:vAlign w:val="center"/>
          </w:tcPr>
          <w:p>
            <w:pPr>
              <w:adjustRightInd w:val="0"/>
              <w:snapToGrid w:val="0"/>
              <w:spacing w:line="360" w:lineRule="auto"/>
              <w:jc w:val="both"/>
              <w:rPr>
                <w:rFonts w:cs="仿宋"/>
                <w:szCs w:val="21"/>
              </w:rPr>
            </w:pPr>
            <w:r>
              <w:rPr>
                <w:rFonts w:hint="eastAsia" w:cs="仿宋"/>
                <w:szCs w:val="21"/>
              </w:rPr>
              <w:t>符合第一章第3.</w:t>
            </w:r>
            <w:r>
              <w:rPr>
                <w:rFonts w:hint="eastAsia" w:cs="仿宋"/>
                <w:szCs w:val="21"/>
                <w:lang w:val="en-US" w:eastAsia="zh-CN"/>
              </w:rPr>
              <w:t>2</w:t>
            </w:r>
            <w:r>
              <w:rPr>
                <w:rFonts w:hint="eastAsia" w:cs="仿宋"/>
                <w:szCs w:val="21"/>
              </w:rPr>
              <w:t>款及响应单位须知前附表第3.5（3）款规定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0" w:type="dxa"/>
            <w:vMerge w:val="continue"/>
            <w:noWrap w:val="0"/>
            <w:vAlign w:val="center"/>
          </w:tcPr>
          <w:p>
            <w:pPr>
              <w:adjustRightInd w:val="0"/>
              <w:snapToGrid w:val="0"/>
              <w:spacing w:line="360" w:lineRule="auto"/>
              <w:jc w:val="both"/>
              <w:rPr>
                <w:rFonts w:cs="仿宋"/>
                <w:szCs w:val="21"/>
              </w:rPr>
            </w:pPr>
          </w:p>
        </w:tc>
        <w:tc>
          <w:tcPr>
            <w:tcW w:w="1310" w:type="dxa"/>
            <w:vMerge w:val="continue"/>
            <w:noWrap w:val="0"/>
            <w:vAlign w:val="center"/>
          </w:tcPr>
          <w:p>
            <w:pPr>
              <w:adjustRightInd w:val="0"/>
              <w:snapToGrid w:val="0"/>
              <w:spacing w:line="360" w:lineRule="auto"/>
              <w:jc w:val="both"/>
              <w:rPr>
                <w:rFonts w:cs="仿宋"/>
                <w:szCs w:val="21"/>
              </w:rPr>
            </w:pPr>
          </w:p>
        </w:tc>
        <w:tc>
          <w:tcPr>
            <w:tcW w:w="1961" w:type="dxa"/>
            <w:noWrap w:val="0"/>
            <w:vAlign w:val="center"/>
          </w:tcPr>
          <w:p>
            <w:pPr>
              <w:adjustRightInd w:val="0"/>
              <w:snapToGrid w:val="0"/>
              <w:spacing w:line="360" w:lineRule="auto"/>
              <w:jc w:val="both"/>
              <w:rPr>
                <w:rFonts w:cs="仿宋"/>
                <w:szCs w:val="21"/>
              </w:rPr>
            </w:pPr>
            <w:r>
              <w:rPr>
                <w:rFonts w:hint="eastAsia" w:cs="仿宋"/>
                <w:szCs w:val="21"/>
              </w:rPr>
              <w:t>业绩要求</w:t>
            </w:r>
          </w:p>
        </w:tc>
        <w:tc>
          <w:tcPr>
            <w:tcW w:w="4938" w:type="dxa"/>
            <w:noWrap w:val="0"/>
            <w:vAlign w:val="center"/>
          </w:tcPr>
          <w:p>
            <w:pPr>
              <w:adjustRightInd w:val="0"/>
              <w:snapToGrid w:val="0"/>
              <w:spacing w:line="360" w:lineRule="auto"/>
              <w:jc w:val="both"/>
              <w:rPr>
                <w:rFonts w:cs="仿宋"/>
                <w:szCs w:val="21"/>
              </w:rPr>
            </w:pPr>
            <w:r>
              <w:rPr>
                <w:rFonts w:hint="eastAsia" w:cs="仿宋"/>
                <w:szCs w:val="21"/>
              </w:rPr>
              <w:t>符合第一章第3.</w:t>
            </w:r>
            <w:r>
              <w:rPr>
                <w:rFonts w:hint="eastAsia" w:cs="仿宋"/>
                <w:szCs w:val="21"/>
                <w:lang w:val="en-US" w:eastAsia="zh-CN"/>
              </w:rPr>
              <w:t>2</w:t>
            </w:r>
            <w:r>
              <w:rPr>
                <w:rFonts w:hint="eastAsia" w:cs="仿宋"/>
                <w:szCs w:val="21"/>
              </w:rPr>
              <w:t>款及响应单位须知前附表第3.5（4）款规定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0" w:type="dxa"/>
            <w:vMerge w:val="continue"/>
            <w:noWrap w:val="0"/>
            <w:vAlign w:val="center"/>
          </w:tcPr>
          <w:p>
            <w:pPr>
              <w:adjustRightInd w:val="0"/>
              <w:snapToGrid w:val="0"/>
              <w:spacing w:line="360" w:lineRule="auto"/>
              <w:jc w:val="both"/>
              <w:rPr>
                <w:rFonts w:cs="仿宋"/>
                <w:szCs w:val="21"/>
              </w:rPr>
            </w:pPr>
          </w:p>
        </w:tc>
        <w:tc>
          <w:tcPr>
            <w:tcW w:w="1310" w:type="dxa"/>
            <w:vMerge w:val="continue"/>
            <w:noWrap w:val="0"/>
            <w:vAlign w:val="center"/>
          </w:tcPr>
          <w:p>
            <w:pPr>
              <w:adjustRightInd w:val="0"/>
              <w:snapToGrid w:val="0"/>
              <w:spacing w:line="360" w:lineRule="auto"/>
              <w:jc w:val="both"/>
              <w:rPr>
                <w:rFonts w:cs="仿宋"/>
                <w:szCs w:val="21"/>
              </w:rPr>
            </w:pPr>
          </w:p>
        </w:tc>
        <w:tc>
          <w:tcPr>
            <w:tcW w:w="1961" w:type="dxa"/>
            <w:noWrap w:val="0"/>
            <w:vAlign w:val="center"/>
          </w:tcPr>
          <w:p>
            <w:pPr>
              <w:adjustRightInd w:val="0"/>
              <w:snapToGrid w:val="0"/>
              <w:spacing w:line="360" w:lineRule="auto"/>
              <w:jc w:val="both"/>
              <w:rPr>
                <w:rFonts w:cs="仿宋"/>
                <w:szCs w:val="21"/>
              </w:rPr>
            </w:pPr>
            <w:r>
              <w:rPr>
                <w:rFonts w:hint="eastAsia" w:cs="仿宋"/>
                <w:szCs w:val="21"/>
              </w:rPr>
              <w:t>信誉要求</w:t>
            </w:r>
          </w:p>
        </w:tc>
        <w:tc>
          <w:tcPr>
            <w:tcW w:w="4938" w:type="dxa"/>
            <w:noWrap w:val="0"/>
            <w:vAlign w:val="center"/>
          </w:tcPr>
          <w:p>
            <w:pPr>
              <w:adjustRightInd w:val="0"/>
              <w:snapToGrid w:val="0"/>
              <w:spacing w:line="360" w:lineRule="auto"/>
              <w:jc w:val="both"/>
              <w:rPr>
                <w:rFonts w:cs="仿宋"/>
                <w:szCs w:val="21"/>
              </w:rPr>
            </w:pPr>
            <w:r>
              <w:rPr>
                <w:rFonts w:hint="eastAsia" w:cs="仿宋"/>
                <w:szCs w:val="21"/>
              </w:rPr>
              <w:t>符合第一章第3.</w:t>
            </w:r>
            <w:r>
              <w:rPr>
                <w:rFonts w:hint="eastAsia" w:cs="仿宋"/>
                <w:szCs w:val="21"/>
                <w:lang w:val="en-US" w:eastAsia="zh-CN"/>
              </w:rPr>
              <w:t>2</w:t>
            </w:r>
            <w:r>
              <w:rPr>
                <w:rFonts w:hint="eastAsia" w:cs="仿宋"/>
                <w:szCs w:val="21"/>
              </w:rPr>
              <w:t>款及响应单位须知前附表第3.5（5）款规定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0" w:type="dxa"/>
            <w:vMerge w:val="continue"/>
            <w:noWrap w:val="0"/>
            <w:vAlign w:val="center"/>
          </w:tcPr>
          <w:p>
            <w:pPr>
              <w:adjustRightInd w:val="0"/>
              <w:snapToGrid w:val="0"/>
              <w:spacing w:line="360" w:lineRule="auto"/>
              <w:jc w:val="both"/>
              <w:rPr>
                <w:rFonts w:cs="仿宋"/>
                <w:szCs w:val="21"/>
              </w:rPr>
            </w:pPr>
          </w:p>
        </w:tc>
        <w:tc>
          <w:tcPr>
            <w:tcW w:w="1310" w:type="dxa"/>
            <w:vMerge w:val="continue"/>
            <w:noWrap w:val="0"/>
            <w:vAlign w:val="center"/>
          </w:tcPr>
          <w:p>
            <w:pPr>
              <w:adjustRightInd w:val="0"/>
              <w:snapToGrid w:val="0"/>
              <w:spacing w:line="360" w:lineRule="auto"/>
              <w:jc w:val="both"/>
              <w:rPr>
                <w:rFonts w:cs="仿宋"/>
                <w:szCs w:val="21"/>
              </w:rPr>
            </w:pPr>
          </w:p>
        </w:tc>
        <w:tc>
          <w:tcPr>
            <w:tcW w:w="1961" w:type="dxa"/>
            <w:noWrap w:val="0"/>
            <w:vAlign w:val="center"/>
          </w:tcPr>
          <w:p>
            <w:pPr>
              <w:adjustRightInd w:val="0"/>
              <w:snapToGrid w:val="0"/>
              <w:spacing w:line="360" w:lineRule="auto"/>
              <w:jc w:val="both"/>
              <w:rPr>
                <w:rFonts w:cs="仿宋"/>
                <w:szCs w:val="21"/>
              </w:rPr>
            </w:pPr>
            <w:r>
              <w:rPr>
                <w:rFonts w:hint="eastAsia" w:cs="仿宋"/>
                <w:szCs w:val="21"/>
              </w:rPr>
              <w:t>人员要求</w:t>
            </w:r>
          </w:p>
        </w:tc>
        <w:tc>
          <w:tcPr>
            <w:tcW w:w="4938" w:type="dxa"/>
            <w:noWrap w:val="0"/>
            <w:vAlign w:val="center"/>
          </w:tcPr>
          <w:p>
            <w:pPr>
              <w:adjustRightInd w:val="0"/>
              <w:snapToGrid w:val="0"/>
              <w:spacing w:line="360" w:lineRule="auto"/>
              <w:jc w:val="both"/>
              <w:rPr>
                <w:rFonts w:cs="仿宋"/>
                <w:szCs w:val="21"/>
              </w:rPr>
            </w:pPr>
            <w:r>
              <w:rPr>
                <w:rFonts w:hint="eastAsia" w:cs="仿宋"/>
                <w:szCs w:val="21"/>
              </w:rPr>
              <w:t>符合第一章第3.</w:t>
            </w:r>
            <w:r>
              <w:rPr>
                <w:rFonts w:hint="eastAsia" w:cs="仿宋"/>
                <w:szCs w:val="21"/>
                <w:lang w:val="en-US" w:eastAsia="zh-CN"/>
              </w:rPr>
              <w:t>2</w:t>
            </w:r>
            <w:r>
              <w:rPr>
                <w:rFonts w:hint="eastAsia" w:cs="仿宋"/>
                <w:szCs w:val="21"/>
              </w:rPr>
              <w:t>款及响应单位须知前附表第3.5（6）款规定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0" w:type="dxa"/>
            <w:vMerge w:val="continue"/>
            <w:noWrap w:val="0"/>
            <w:vAlign w:val="center"/>
          </w:tcPr>
          <w:p>
            <w:pPr>
              <w:adjustRightInd w:val="0"/>
              <w:snapToGrid w:val="0"/>
              <w:spacing w:line="360" w:lineRule="auto"/>
              <w:jc w:val="both"/>
              <w:rPr>
                <w:rFonts w:cs="仿宋"/>
                <w:szCs w:val="21"/>
              </w:rPr>
            </w:pPr>
          </w:p>
        </w:tc>
        <w:tc>
          <w:tcPr>
            <w:tcW w:w="1310" w:type="dxa"/>
            <w:vMerge w:val="continue"/>
            <w:noWrap w:val="0"/>
            <w:vAlign w:val="center"/>
          </w:tcPr>
          <w:p>
            <w:pPr>
              <w:adjustRightInd w:val="0"/>
              <w:snapToGrid w:val="0"/>
              <w:spacing w:line="360" w:lineRule="auto"/>
              <w:jc w:val="both"/>
              <w:rPr>
                <w:rFonts w:cs="仿宋"/>
                <w:szCs w:val="21"/>
              </w:rPr>
            </w:pPr>
          </w:p>
        </w:tc>
        <w:tc>
          <w:tcPr>
            <w:tcW w:w="1961" w:type="dxa"/>
            <w:noWrap w:val="0"/>
            <w:vAlign w:val="center"/>
          </w:tcPr>
          <w:p>
            <w:pPr>
              <w:adjustRightInd w:val="0"/>
              <w:snapToGrid w:val="0"/>
              <w:spacing w:line="360" w:lineRule="auto"/>
              <w:jc w:val="both"/>
              <w:rPr>
                <w:rFonts w:cs="仿宋"/>
                <w:szCs w:val="21"/>
              </w:rPr>
            </w:pPr>
            <w:r>
              <w:rPr>
                <w:rFonts w:hint="eastAsia" w:cs="仿宋"/>
                <w:szCs w:val="21"/>
              </w:rPr>
              <w:t>其他要求</w:t>
            </w:r>
          </w:p>
        </w:tc>
        <w:tc>
          <w:tcPr>
            <w:tcW w:w="4938" w:type="dxa"/>
            <w:noWrap w:val="0"/>
            <w:vAlign w:val="center"/>
          </w:tcPr>
          <w:p>
            <w:pPr>
              <w:adjustRightInd w:val="0"/>
              <w:snapToGrid w:val="0"/>
              <w:spacing w:line="360" w:lineRule="auto"/>
              <w:jc w:val="both"/>
              <w:rPr>
                <w:rFonts w:cs="仿宋"/>
                <w:szCs w:val="21"/>
              </w:rPr>
            </w:pPr>
            <w:r>
              <w:rPr>
                <w:rFonts w:hint="eastAsia" w:cs="仿宋"/>
                <w:szCs w:val="21"/>
              </w:rPr>
              <w:t>符合第一章第3.</w:t>
            </w:r>
            <w:r>
              <w:rPr>
                <w:rFonts w:hint="eastAsia" w:cs="仿宋"/>
                <w:szCs w:val="21"/>
                <w:lang w:val="en-US" w:eastAsia="zh-CN"/>
              </w:rPr>
              <w:t>2</w:t>
            </w:r>
            <w:r>
              <w:rPr>
                <w:rFonts w:hint="eastAsia" w:cs="仿宋"/>
                <w:szCs w:val="21"/>
              </w:rPr>
              <w:t>款及响应单位须知前附表第3.5（7）款规定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0" w:type="dxa"/>
            <w:vMerge w:val="continue"/>
            <w:noWrap w:val="0"/>
            <w:vAlign w:val="center"/>
          </w:tcPr>
          <w:p>
            <w:pPr>
              <w:adjustRightInd w:val="0"/>
              <w:snapToGrid w:val="0"/>
              <w:spacing w:line="360" w:lineRule="auto"/>
              <w:jc w:val="both"/>
              <w:rPr>
                <w:rFonts w:cs="仿宋"/>
                <w:szCs w:val="21"/>
              </w:rPr>
            </w:pPr>
          </w:p>
        </w:tc>
        <w:tc>
          <w:tcPr>
            <w:tcW w:w="1310" w:type="dxa"/>
            <w:vMerge w:val="continue"/>
            <w:noWrap w:val="0"/>
            <w:vAlign w:val="center"/>
          </w:tcPr>
          <w:p>
            <w:pPr>
              <w:adjustRightInd w:val="0"/>
              <w:snapToGrid w:val="0"/>
              <w:spacing w:line="360" w:lineRule="auto"/>
              <w:jc w:val="both"/>
              <w:rPr>
                <w:rFonts w:cs="仿宋"/>
                <w:szCs w:val="21"/>
              </w:rPr>
            </w:pPr>
          </w:p>
        </w:tc>
        <w:tc>
          <w:tcPr>
            <w:tcW w:w="1961" w:type="dxa"/>
            <w:noWrap w:val="0"/>
            <w:vAlign w:val="center"/>
          </w:tcPr>
          <w:p>
            <w:pPr>
              <w:adjustRightInd w:val="0"/>
              <w:snapToGrid w:val="0"/>
              <w:spacing w:line="360" w:lineRule="auto"/>
              <w:jc w:val="both"/>
              <w:rPr>
                <w:rFonts w:cs="仿宋"/>
                <w:szCs w:val="21"/>
              </w:rPr>
            </w:pPr>
            <w:r>
              <w:rPr>
                <w:rFonts w:hint="eastAsia" w:cs="仿宋"/>
                <w:szCs w:val="21"/>
              </w:rPr>
              <w:t>不存在第一章第3.</w:t>
            </w:r>
            <w:r>
              <w:rPr>
                <w:rFonts w:hint="eastAsia" w:cs="仿宋"/>
                <w:szCs w:val="21"/>
                <w:lang w:val="en-US" w:eastAsia="zh-CN"/>
              </w:rPr>
              <w:t>1</w:t>
            </w:r>
            <w:r>
              <w:rPr>
                <w:rFonts w:hint="eastAsia" w:cs="仿宋"/>
                <w:szCs w:val="21"/>
              </w:rPr>
              <w:t>款情形</w:t>
            </w:r>
          </w:p>
        </w:tc>
        <w:tc>
          <w:tcPr>
            <w:tcW w:w="4938" w:type="dxa"/>
            <w:noWrap w:val="0"/>
            <w:vAlign w:val="center"/>
          </w:tcPr>
          <w:p>
            <w:pPr>
              <w:adjustRightInd w:val="0"/>
              <w:snapToGrid w:val="0"/>
              <w:spacing w:line="360" w:lineRule="auto"/>
              <w:jc w:val="both"/>
              <w:rPr>
                <w:rFonts w:cs="仿宋"/>
                <w:szCs w:val="21"/>
              </w:rPr>
            </w:pPr>
            <w:r>
              <w:rPr>
                <w:rFonts w:hint="eastAsia" w:cs="仿宋"/>
                <w:szCs w:val="21"/>
              </w:rPr>
              <w:t>符合第一章第3.</w:t>
            </w:r>
            <w:r>
              <w:rPr>
                <w:rFonts w:hint="eastAsia" w:cs="仿宋"/>
                <w:szCs w:val="21"/>
                <w:lang w:val="en-US" w:eastAsia="zh-CN"/>
              </w:rPr>
              <w:t>1</w:t>
            </w:r>
            <w:r>
              <w:rPr>
                <w:rFonts w:hint="eastAsia" w:cs="仿宋"/>
                <w:szCs w:val="21"/>
              </w:rPr>
              <w:t>款及响应单位须知前附表第3.5（8）款规定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0" w:type="dxa"/>
            <w:vMerge w:val="continue"/>
            <w:noWrap w:val="0"/>
            <w:vAlign w:val="center"/>
          </w:tcPr>
          <w:p>
            <w:pPr>
              <w:adjustRightInd w:val="0"/>
              <w:snapToGrid w:val="0"/>
              <w:spacing w:line="360" w:lineRule="auto"/>
              <w:jc w:val="both"/>
              <w:rPr>
                <w:rFonts w:cs="仿宋"/>
                <w:szCs w:val="21"/>
              </w:rPr>
            </w:pPr>
          </w:p>
        </w:tc>
        <w:tc>
          <w:tcPr>
            <w:tcW w:w="1310" w:type="dxa"/>
            <w:vMerge w:val="continue"/>
            <w:noWrap w:val="0"/>
            <w:vAlign w:val="center"/>
          </w:tcPr>
          <w:p>
            <w:pPr>
              <w:adjustRightInd w:val="0"/>
              <w:snapToGrid w:val="0"/>
              <w:spacing w:line="360" w:lineRule="auto"/>
              <w:jc w:val="both"/>
              <w:rPr>
                <w:rFonts w:cs="仿宋"/>
                <w:szCs w:val="21"/>
              </w:rPr>
            </w:pPr>
          </w:p>
        </w:tc>
        <w:tc>
          <w:tcPr>
            <w:tcW w:w="1961" w:type="dxa"/>
            <w:noWrap w:val="0"/>
            <w:vAlign w:val="center"/>
          </w:tcPr>
          <w:p>
            <w:pPr>
              <w:adjustRightInd w:val="0"/>
              <w:snapToGrid w:val="0"/>
              <w:spacing w:line="360" w:lineRule="auto"/>
              <w:jc w:val="both"/>
              <w:rPr>
                <w:rFonts w:cs="仿宋"/>
                <w:szCs w:val="21"/>
              </w:rPr>
            </w:pPr>
            <w:r>
              <w:rPr>
                <w:rFonts w:hint="eastAsia" w:cs="仿宋"/>
                <w:szCs w:val="21"/>
              </w:rPr>
              <w:t>联合体响应单位</w:t>
            </w:r>
          </w:p>
        </w:tc>
        <w:tc>
          <w:tcPr>
            <w:tcW w:w="4938" w:type="dxa"/>
            <w:noWrap w:val="0"/>
            <w:vAlign w:val="center"/>
          </w:tcPr>
          <w:p>
            <w:pPr>
              <w:adjustRightInd w:val="0"/>
              <w:snapToGrid w:val="0"/>
              <w:spacing w:line="360" w:lineRule="auto"/>
              <w:jc w:val="both"/>
              <w:rPr>
                <w:rFonts w:cs="仿宋"/>
                <w:szCs w:val="21"/>
              </w:rPr>
            </w:pPr>
            <w:r>
              <w:rPr>
                <w:rFonts w:hint="eastAsia" w:cs="仿宋"/>
                <w:szCs w:val="21"/>
              </w:rPr>
              <w:t>符合第一章第3.</w:t>
            </w:r>
            <w:r>
              <w:rPr>
                <w:rFonts w:hint="eastAsia" w:cs="仿宋"/>
                <w:szCs w:val="21"/>
                <w:lang w:val="en-US" w:eastAsia="zh-CN"/>
              </w:rPr>
              <w:t>2</w:t>
            </w:r>
            <w:r>
              <w:rPr>
                <w:rFonts w:hint="eastAsia" w:cs="仿宋"/>
                <w:szCs w:val="21"/>
              </w:rPr>
              <w:t>款及响应单位须知前附表第3.5（9）款规定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30" w:type="dxa"/>
            <w:vMerge w:val="restart"/>
            <w:noWrap w:val="0"/>
            <w:vAlign w:val="center"/>
          </w:tcPr>
          <w:p>
            <w:pPr>
              <w:adjustRightInd w:val="0"/>
              <w:snapToGrid w:val="0"/>
              <w:spacing w:line="360" w:lineRule="auto"/>
              <w:jc w:val="both"/>
              <w:rPr>
                <w:rFonts w:cs="仿宋"/>
                <w:szCs w:val="21"/>
              </w:rPr>
            </w:pPr>
            <w:r>
              <w:rPr>
                <w:rFonts w:hint="eastAsia" w:cs="仿宋"/>
                <w:szCs w:val="21"/>
              </w:rPr>
              <w:t>2.1.3</w:t>
            </w:r>
          </w:p>
        </w:tc>
        <w:tc>
          <w:tcPr>
            <w:tcW w:w="1310" w:type="dxa"/>
            <w:vMerge w:val="restart"/>
            <w:noWrap w:val="0"/>
            <w:vAlign w:val="center"/>
          </w:tcPr>
          <w:p>
            <w:pPr>
              <w:adjustRightInd w:val="0"/>
              <w:snapToGrid w:val="0"/>
              <w:spacing w:line="360" w:lineRule="auto"/>
              <w:jc w:val="both"/>
              <w:rPr>
                <w:rFonts w:cs="仿宋"/>
                <w:szCs w:val="21"/>
              </w:rPr>
            </w:pPr>
            <w:r>
              <w:rPr>
                <w:rFonts w:hint="eastAsia" w:cs="仿宋"/>
                <w:szCs w:val="21"/>
              </w:rPr>
              <w:t>响应性评审标准</w:t>
            </w:r>
          </w:p>
        </w:tc>
        <w:tc>
          <w:tcPr>
            <w:tcW w:w="1961" w:type="dxa"/>
            <w:noWrap w:val="0"/>
            <w:vAlign w:val="center"/>
          </w:tcPr>
          <w:p>
            <w:pPr>
              <w:adjustRightInd w:val="0"/>
              <w:snapToGrid w:val="0"/>
              <w:spacing w:line="360" w:lineRule="auto"/>
              <w:jc w:val="both"/>
              <w:rPr>
                <w:rFonts w:cs="仿宋"/>
                <w:szCs w:val="21"/>
              </w:rPr>
            </w:pPr>
            <w:r>
              <w:rPr>
                <w:rFonts w:hint="eastAsia" w:cs="仿宋"/>
                <w:szCs w:val="21"/>
              </w:rPr>
              <w:t>报价</w:t>
            </w:r>
          </w:p>
        </w:tc>
        <w:tc>
          <w:tcPr>
            <w:tcW w:w="4938" w:type="dxa"/>
            <w:noWrap w:val="0"/>
            <w:vAlign w:val="center"/>
          </w:tcPr>
          <w:p>
            <w:pPr>
              <w:adjustRightInd w:val="0"/>
              <w:snapToGrid w:val="0"/>
              <w:spacing w:line="360" w:lineRule="auto"/>
              <w:jc w:val="both"/>
              <w:rPr>
                <w:rFonts w:cs="仿宋"/>
                <w:szCs w:val="21"/>
              </w:rPr>
            </w:pPr>
            <w:r>
              <w:rPr>
                <w:rFonts w:hint="eastAsia" w:cs="仿宋"/>
                <w:szCs w:val="21"/>
              </w:rPr>
              <w:t>符合第二章第3.2款规定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0" w:type="dxa"/>
            <w:vMerge w:val="continue"/>
            <w:noWrap w:val="0"/>
            <w:vAlign w:val="center"/>
          </w:tcPr>
          <w:p>
            <w:pPr>
              <w:adjustRightInd w:val="0"/>
              <w:snapToGrid w:val="0"/>
              <w:spacing w:line="360" w:lineRule="auto"/>
              <w:jc w:val="both"/>
              <w:rPr>
                <w:rFonts w:cs="仿宋"/>
                <w:szCs w:val="21"/>
              </w:rPr>
            </w:pPr>
          </w:p>
        </w:tc>
        <w:tc>
          <w:tcPr>
            <w:tcW w:w="1310" w:type="dxa"/>
            <w:vMerge w:val="continue"/>
            <w:noWrap w:val="0"/>
            <w:vAlign w:val="center"/>
          </w:tcPr>
          <w:p>
            <w:pPr>
              <w:adjustRightInd w:val="0"/>
              <w:snapToGrid w:val="0"/>
              <w:spacing w:line="360" w:lineRule="auto"/>
              <w:jc w:val="both"/>
              <w:rPr>
                <w:rFonts w:cs="仿宋"/>
                <w:szCs w:val="21"/>
              </w:rPr>
            </w:pPr>
          </w:p>
        </w:tc>
        <w:tc>
          <w:tcPr>
            <w:tcW w:w="1961" w:type="dxa"/>
            <w:noWrap w:val="0"/>
            <w:vAlign w:val="center"/>
          </w:tcPr>
          <w:p>
            <w:pPr>
              <w:adjustRightInd w:val="0"/>
              <w:snapToGrid w:val="0"/>
              <w:spacing w:line="360" w:lineRule="auto"/>
              <w:jc w:val="both"/>
              <w:rPr>
                <w:rFonts w:cs="仿宋"/>
                <w:szCs w:val="21"/>
              </w:rPr>
            </w:pPr>
            <w:r>
              <w:rPr>
                <w:rFonts w:hint="eastAsia" w:cs="仿宋"/>
                <w:szCs w:val="21"/>
              </w:rPr>
              <w:t>响应文件有效期</w:t>
            </w:r>
          </w:p>
        </w:tc>
        <w:tc>
          <w:tcPr>
            <w:tcW w:w="4938" w:type="dxa"/>
            <w:noWrap w:val="0"/>
            <w:vAlign w:val="center"/>
          </w:tcPr>
          <w:p>
            <w:pPr>
              <w:adjustRightInd w:val="0"/>
              <w:snapToGrid w:val="0"/>
              <w:spacing w:line="360" w:lineRule="auto"/>
              <w:jc w:val="both"/>
              <w:rPr>
                <w:rFonts w:cs="仿宋"/>
                <w:szCs w:val="21"/>
              </w:rPr>
            </w:pPr>
            <w:r>
              <w:rPr>
                <w:rFonts w:hint="eastAsia" w:cs="仿宋"/>
                <w:szCs w:val="21"/>
              </w:rPr>
              <w:t>符合第二章第3.3.1项规定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0" w:type="dxa"/>
            <w:vMerge w:val="continue"/>
            <w:noWrap w:val="0"/>
            <w:vAlign w:val="center"/>
          </w:tcPr>
          <w:p>
            <w:pPr>
              <w:adjustRightInd w:val="0"/>
              <w:snapToGrid w:val="0"/>
              <w:spacing w:line="360" w:lineRule="auto"/>
              <w:jc w:val="both"/>
              <w:rPr>
                <w:rFonts w:cs="仿宋"/>
                <w:szCs w:val="21"/>
              </w:rPr>
            </w:pPr>
          </w:p>
        </w:tc>
        <w:tc>
          <w:tcPr>
            <w:tcW w:w="1310" w:type="dxa"/>
            <w:vMerge w:val="continue"/>
            <w:noWrap w:val="0"/>
            <w:vAlign w:val="center"/>
          </w:tcPr>
          <w:p>
            <w:pPr>
              <w:adjustRightInd w:val="0"/>
              <w:snapToGrid w:val="0"/>
              <w:spacing w:line="360" w:lineRule="auto"/>
              <w:jc w:val="both"/>
              <w:rPr>
                <w:rFonts w:cs="仿宋"/>
                <w:szCs w:val="21"/>
              </w:rPr>
            </w:pPr>
          </w:p>
        </w:tc>
        <w:tc>
          <w:tcPr>
            <w:tcW w:w="1961" w:type="dxa"/>
            <w:noWrap w:val="0"/>
            <w:vAlign w:val="center"/>
          </w:tcPr>
          <w:p>
            <w:pPr>
              <w:adjustRightInd w:val="0"/>
              <w:snapToGrid w:val="0"/>
              <w:spacing w:line="360" w:lineRule="auto"/>
              <w:jc w:val="both"/>
              <w:rPr>
                <w:rFonts w:cs="仿宋"/>
                <w:szCs w:val="21"/>
              </w:rPr>
            </w:pPr>
            <w:r>
              <w:rPr>
                <w:rFonts w:hint="eastAsia" w:cs="仿宋"/>
                <w:szCs w:val="21"/>
              </w:rPr>
              <w:t>响应保证金</w:t>
            </w:r>
          </w:p>
        </w:tc>
        <w:tc>
          <w:tcPr>
            <w:tcW w:w="4938" w:type="dxa"/>
            <w:noWrap w:val="0"/>
            <w:vAlign w:val="center"/>
          </w:tcPr>
          <w:p>
            <w:pPr>
              <w:adjustRightInd w:val="0"/>
              <w:snapToGrid w:val="0"/>
              <w:spacing w:line="360" w:lineRule="auto"/>
              <w:jc w:val="both"/>
              <w:rPr>
                <w:rFonts w:cs="仿宋"/>
                <w:szCs w:val="21"/>
              </w:rPr>
            </w:pPr>
            <w:r>
              <w:rPr>
                <w:rFonts w:hint="eastAsia" w:cs="仿宋"/>
                <w:szCs w:val="21"/>
              </w:rPr>
              <w:t>符合第二章第3.4.1项规定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0" w:type="dxa"/>
            <w:vMerge w:val="continue"/>
            <w:noWrap w:val="0"/>
            <w:vAlign w:val="center"/>
          </w:tcPr>
          <w:p>
            <w:pPr>
              <w:adjustRightInd w:val="0"/>
              <w:snapToGrid w:val="0"/>
              <w:spacing w:line="360" w:lineRule="auto"/>
              <w:jc w:val="both"/>
              <w:rPr>
                <w:rFonts w:cs="仿宋"/>
                <w:szCs w:val="21"/>
              </w:rPr>
            </w:pPr>
          </w:p>
        </w:tc>
        <w:tc>
          <w:tcPr>
            <w:tcW w:w="1310" w:type="dxa"/>
            <w:vMerge w:val="continue"/>
            <w:noWrap w:val="0"/>
            <w:vAlign w:val="center"/>
          </w:tcPr>
          <w:p>
            <w:pPr>
              <w:adjustRightInd w:val="0"/>
              <w:snapToGrid w:val="0"/>
              <w:spacing w:line="360" w:lineRule="auto"/>
              <w:jc w:val="both"/>
              <w:rPr>
                <w:rFonts w:cs="仿宋"/>
                <w:szCs w:val="21"/>
              </w:rPr>
            </w:pPr>
          </w:p>
        </w:tc>
        <w:tc>
          <w:tcPr>
            <w:tcW w:w="1961" w:type="dxa"/>
            <w:noWrap w:val="0"/>
            <w:vAlign w:val="center"/>
          </w:tcPr>
          <w:p>
            <w:pPr>
              <w:adjustRightInd w:val="0"/>
              <w:snapToGrid w:val="0"/>
              <w:spacing w:line="360" w:lineRule="auto"/>
              <w:jc w:val="both"/>
              <w:rPr>
                <w:rFonts w:cs="仿宋"/>
                <w:szCs w:val="21"/>
              </w:rPr>
            </w:pPr>
            <w:r>
              <w:rPr>
                <w:rFonts w:hint="eastAsia" w:cs="仿宋"/>
                <w:szCs w:val="21"/>
              </w:rPr>
              <w:t>响应方案</w:t>
            </w:r>
          </w:p>
        </w:tc>
        <w:tc>
          <w:tcPr>
            <w:tcW w:w="4938" w:type="dxa"/>
            <w:noWrap w:val="0"/>
            <w:vAlign w:val="center"/>
          </w:tcPr>
          <w:p>
            <w:pPr>
              <w:adjustRightInd w:val="0"/>
              <w:snapToGrid w:val="0"/>
              <w:spacing w:line="360" w:lineRule="auto"/>
              <w:jc w:val="both"/>
              <w:rPr>
                <w:rFonts w:cs="仿宋"/>
                <w:szCs w:val="21"/>
              </w:rPr>
            </w:pPr>
            <w:r>
              <w:rPr>
                <w:rFonts w:hint="eastAsia" w:cs="仿宋"/>
                <w:szCs w:val="21"/>
              </w:rPr>
              <w:t>符合第二章第3.6款规定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0" w:type="dxa"/>
            <w:vMerge w:val="continue"/>
            <w:noWrap w:val="0"/>
            <w:vAlign w:val="center"/>
          </w:tcPr>
          <w:p>
            <w:pPr>
              <w:adjustRightInd w:val="0"/>
              <w:snapToGrid w:val="0"/>
              <w:spacing w:line="360" w:lineRule="auto"/>
              <w:jc w:val="both"/>
              <w:rPr>
                <w:rFonts w:cs="仿宋"/>
                <w:szCs w:val="21"/>
              </w:rPr>
            </w:pPr>
          </w:p>
        </w:tc>
        <w:tc>
          <w:tcPr>
            <w:tcW w:w="1310" w:type="dxa"/>
            <w:vMerge w:val="continue"/>
            <w:noWrap w:val="0"/>
            <w:vAlign w:val="center"/>
          </w:tcPr>
          <w:p>
            <w:pPr>
              <w:adjustRightInd w:val="0"/>
              <w:snapToGrid w:val="0"/>
              <w:spacing w:line="360" w:lineRule="auto"/>
              <w:jc w:val="both"/>
              <w:rPr>
                <w:rFonts w:cs="仿宋"/>
                <w:szCs w:val="21"/>
              </w:rPr>
            </w:pPr>
          </w:p>
        </w:tc>
        <w:tc>
          <w:tcPr>
            <w:tcW w:w="1961" w:type="dxa"/>
            <w:noWrap w:val="0"/>
            <w:vAlign w:val="center"/>
          </w:tcPr>
          <w:p>
            <w:pPr>
              <w:adjustRightInd w:val="0"/>
              <w:snapToGrid w:val="0"/>
              <w:spacing w:line="360" w:lineRule="auto"/>
              <w:jc w:val="both"/>
              <w:rPr>
                <w:rFonts w:cs="仿宋"/>
                <w:szCs w:val="21"/>
              </w:rPr>
            </w:pPr>
            <w:r>
              <w:rPr>
                <w:rFonts w:hint="eastAsia" w:cs="仿宋"/>
                <w:szCs w:val="21"/>
              </w:rPr>
              <w:t>质量标准</w:t>
            </w:r>
          </w:p>
        </w:tc>
        <w:tc>
          <w:tcPr>
            <w:tcW w:w="4938" w:type="dxa"/>
            <w:noWrap w:val="0"/>
            <w:vAlign w:val="center"/>
          </w:tcPr>
          <w:p>
            <w:pPr>
              <w:adjustRightInd w:val="0"/>
              <w:snapToGrid w:val="0"/>
              <w:spacing w:line="360" w:lineRule="auto"/>
              <w:jc w:val="both"/>
              <w:rPr>
                <w:rFonts w:cs="仿宋"/>
                <w:szCs w:val="21"/>
              </w:rPr>
            </w:pPr>
            <w:r>
              <w:rPr>
                <w:rFonts w:hint="eastAsia" w:cs="仿宋"/>
                <w:szCs w:val="21"/>
              </w:rPr>
              <w:t>符合第一章第2条规定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0" w:type="dxa"/>
            <w:vMerge w:val="continue"/>
            <w:noWrap w:val="0"/>
            <w:vAlign w:val="center"/>
          </w:tcPr>
          <w:p>
            <w:pPr>
              <w:adjustRightInd w:val="0"/>
              <w:snapToGrid w:val="0"/>
              <w:spacing w:line="360" w:lineRule="auto"/>
              <w:jc w:val="both"/>
              <w:rPr>
                <w:rFonts w:cs="仿宋"/>
                <w:szCs w:val="21"/>
              </w:rPr>
            </w:pPr>
          </w:p>
        </w:tc>
        <w:tc>
          <w:tcPr>
            <w:tcW w:w="1310" w:type="dxa"/>
            <w:vMerge w:val="continue"/>
            <w:noWrap w:val="0"/>
            <w:vAlign w:val="center"/>
          </w:tcPr>
          <w:p>
            <w:pPr>
              <w:adjustRightInd w:val="0"/>
              <w:snapToGrid w:val="0"/>
              <w:spacing w:line="360" w:lineRule="auto"/>
              <w:jc w:val="both"/>
              <w:rPr>
                <w:rFonts w:cs="仿宋"/>
                <w:szCs w:val="21"/>
              </w:rPr>
            </w:pPr>
          </w:p>
        </w:tc>
        <w:tc>
          <w:tcPr>
            <w:tcW w:w="1961" w:type="dxa"/>
            <w:noWrap w:val="0"/>
            <w:vAlign w:val="center"/>
          </w:tcPr>
          <w:p>
            <w:pPr>
              <w:adjustRightInd w:val="0"/>
              <w:snapToGrid w:val="0"/>
              <w:spacing w:line="360" w:lineRule="auto"/>
              <w:jc w:val="both"/>
              <w:rPr>
                <w:rFonts w:cs="仿宋"/>
                <w:szCs w:val="21"/>
              </w:rPr>
            </w:pPr>
            <w:r>
              <w:rPr>
                <w:rFonts w:hint="eastAsia" w:cs="仿宋"/>
                <w:szCs w:val="21"/>
              </w:rPr>
              <w:t>交货期</w:t>
            </w:r>
          </w:p>
        </w:tc>
        <w:tc>
          <w:tcPr>
            <w:tcW w:w="4938" w:type="dxa"/>
            <w:noWrap w:val="0"/>
            <w:vAlign w:val="center"/>
          </w:tcPr>
          <w:p>
            <w:pPr>
              <w:adjustRightInd w:val="0"/>
              <w:snapToGrid w:val="0"/>
              <w:spacing w:line="360" w:lineRule="auto"/>
              <w:jc w:val="both"/>
              <w:rPr>
                <w:rFonts w:cs="仿宋"/>
                <w:szCs w:val="21"/>
              </w:rPr>
            </w:pPr>
            <w:r>
              <w:rPr>
                <w:rFonts w:hint="eastAsia" w:cs="仿宋"/>
                <w:szCs w:val="21"/>
              </w:rPr>
              <w:t>符合第一章第2条规定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0" w:type="dxa"/>
            <w:vMerge w:val="continue"/>
            <w:noWrap w:val="0"/>
            <w:vAlign w:val="center"/>
          </w:tcPr>
          <w:p>
            <w:pPr>
              <w:adjustRightInd w:val="0"/>
              <w:snapToGrid w:val="0"/>
              <w:spacing w:line="360" w:lineRule="auto"/>
              <w:jc w:val="both"/>
              <w:rPr>
                <w:rFonts w:cs="仿宋"/>
                <w:szCs w:val="21"/>
              </w:rPr>
            </w:pPr>
          </w:p>
        </w:tc>
        <w:tc>
          <w:tcPr>
            <w:tcW w:w="1310" w:type="dxa"/>
            <w:vMerge w:val="continue"/>
            <w:noWrap w:val="0"/>
            <w:vAlign w:val="center"/>
          </w:tcPr>
          <w:p>
            <w:pPr>
              <w:adjustRightInd w:val="0"/>
              <w:snapToGrid w:val="0"/>
              <w:spacing w:line="360" w:lineRule="auto"/>
              <w:jc w:val="both"/>
              <w:rPr>
                <w:rFonts w:cs="仿宋"/>
                <w:szCs w:val="21"/>
              </w:rPr>
            </w:pPr>
          </w:p>
        </w:tc>
        <w:tc>
          <w:tcPr>
            <w:tcW w:w="1961" w:type="dxa"/>
            <w:noWrap w:val="0"/>
            <w:vAlign w:val="center"/>
          </w:tcPr>
          <w:p>
            <w:pPr>
              <w:adjustRightInd w:val="0"/>
              <w:snapToGrid w:val="0"/>
              <w:spacing w:line="360" w:lineRule="auto"/>
              <w:jc w:val="both"/>
              <w:rPr>
                <w:rFonts w:cs="仿宋"/>
                <w:szCs w:val="21"/>
              </w:rPr>
            </w:pPr>
            <w:r>
              <w:rPr>
                <w:rFonts w:hint="eastAsia" w:cs="仿宋"/>
                <w:szCs w:val="21"/>
              </w:rPr>
              <w:t>合同条款</w:t>
            </w:r>
          </w:p>
        </w:tc>
        <w:tc>
          <w:tcPr>
            <w:tcW w:w="4938" w:type="dxa"/>
            <w:noWrap w:val="0"/>
            <w:vAlign w:val="center"/>
          </w:tcPr>
          <w:p>
            <w:pPr>
              <w:adjustRightInd w:val="0"/>
              <w:snapToGrid w:val="0"/>
              <w:spacing w:line="360" w:lineRule="auto"/>
              <w:jc w:val="both"/>
              <w:rPr>
                <w:rFonts w:cs="仿宋"/>
                <w:szCs w:val="21"/>
              </w:rPr>
            </w:pPr>
            <w:r>
              <w:rPr>
                <w:rFonts w:hint="eastAsia" w:cs="仿宋"/>
                <w:szCs w:val="21"/>
              </w:rPr>
              <w:t>符合第二章第1.10.1项规定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0" w:type="dxa"/>
            <w:vMerge w:val="continue"/>
            <w:noWrap w:val="0"/>
            <w:vAlign w:val="center"/>
          </w:tcPr>
          <w:p>
            <w:pPr>
              <w:adjustRightInd w:val="0"/>
              <w:snapToGrid w:val="0"/>
              <w:spacing w:line="360" w:lineRule="auto"/>
              <w:jc w:val="both"/>
              <w:rPr>
                <w:rFonts w:cs="仿宋"/>
                <w:szCs w:val="21"/>
              </w:rPr>
            </w:pPr>
          </w:p>
        </w:tc>
        <w:tc>
          <w:tcPr>
            <w:tcW w:w="1310" w:type="dxa"/>
            <w:vMerge w:val="continue"/>
            <w:noWrap w:val="0"/>
            <w:vAlign w:val="center"/>
          </w:tcPr>
          <w:p>
            <w:pPr>
              <w:adjustRightInd w:val="0"/>
              <w:snapToGrid w:val="0"/>
              <w:spacing w:line="360" w:lineRule="auto"/>
              <w:jc w:val="both"/>
              <w:rPr>
                <w:rFonts w:cs="仿宋"/>
                <w:szCs w:val="21"/>
              </w:rPr>
            </w:pPr>
          </w:p>
        </w:tc>
        <w:tc>
          <w:tcPr>
            <w:tcW w:w="1961" w:type="dxa"/>
            <w:noWrap w:val="0"/>
            <w:vAlign w:val="center"/>
          </w:tcPr>
          <w:p>
            <w:pPr>
              <w:adjustRightInd w:val="0"/>
              <w:snapToGrid w:val="0"/>
              <w:spacing w:line="360" w:lineRule="auto"/>
              <w:jc w:val="both"/>
              <w:rPr>
                <w:rFonts w:cs="仿宋"/>
                <w:szCs w:val="21"/>
              </w:rPr>
            </w:pPr>
            <w:r>
              <w:rPr>
                <w:rFonts w:hint="eastAsia" w:cs="仿宋"/>
                <w:szCs w:val="21"/>
              </w:rPr>
              <w:t>对非关键条款的偏差</w:t>
            </w:r>
          </w:p>
        </w:tc>
        <w:tc>
          <w:tcPr>
            <w:tcW w:w="4938" w:type="dxa"/>
            <w:noWrap w:val="0"/>
            <w:vAlign w:val="center"/>
          </w:tcPr>
          <w:p>
            <w:pPr>
              <w:adjustRightInd w:val="0"/>
              <w:snapToGrid w:val="0"/>
              <w:spacing w:line="360" w:lineRule="auto"/>
              <w:jc w:val="both"/>
              <w:rPr>
                <w:rFonts w:cs="仿宋"/>
                <w:szCs w:val="21"/>
              </w:rPr>
            </w:pPr>
            <w:r>
              <w:rPr>
                <w:rFonts w:hint="eastAsia" w:cs="仿宋"/>
                <w:szCs w:val="21"/>
              </w:rPr>
              <w:t>偏差范围和偏差项数符合第二章第1.10.2项的规定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30" w:type="dxa"/>
            <w:noWrap w:val="0"/>
            <w:vAlign w:val="center"/>
          </w:tcPr>
          <w:p>
            <w:pPr>
              <w:adjustRightInd w:val="0"/>
              <w:snapToGrid w:val="0"/>
              <w:spacing w:line="360" w:lineRule="auto"/>
              <w:jc w:val="both"/>
              <w:rPr>
                <w:rFonts w:cs="仿宋"/>
                <w:szCs w:val="21"/>
              </w:rPr>
            </w:pPr>
            <w:r>
              <w:rPr>
                <w:rFonts w:hint="eastAsia" w:cs="仿宋"/>
                <w:szCs w:val="21"/>
              </w:rPr>
              <w:t>2.2.2</w:t>
            </w:r>
          </w:p>
        </w:tc>
        <w:tc>
          <w:tcPr>
            <w:tcW w:w="1310" w:type="dxa"/>
            <w:noWrap w:val="0"/>
            <w:vAlign w:val="center"/>
          </w:tcPr>
          <w:p>
            <w:pPr>
              <w:adjustRightInd w:val="0"/>
              <w:snapToGrid w:val="0"/>
              <w:spacing w:line="360" w:lineRule="auto"/>
              <w:jc w:val="both"/>
              <w:rPr>
                <w:rFonts w:cs="仿宋"/>
                <w:szCs w:val="21"/>
              </w:rPr>
            </w:pPr>
          </w:p>
        </w:tc>
        <w:tc>
          <w:tcPr>
            <w:tcW w:w="1961" w:type="dxa"/>
            <w:noWrap w:val="0"/>
            <w:vAlign w:val="center"/>
          </w:tcPr>
          <w:p>
            <w:pPr>
              <w:adjustRightInd w:val="0"/>
              <w:snapToGrid w:val="0"/>
              <w:spacing w:line="360" w:lineRule="auto"/>
              <w:jc w:val="both"/>
              <w:rPr>
                <w:rFonts w:cs="仿宋"/>
                <w:szCs w:val="21"/>
              </w:rPr>
            </w:pPr>
            <w:r>
              <w:rPr>
                <w:rFonts w:hint="eastAsia" w:cs="仿宋"/>
                <w:szCs w:val="21"/>
              </w:rPr>
              <w:t>评审价格</w:t>
            </w:r>
          </w:p>
        </w:tc>
        <w:tc>
          <w:tcPr>
            <w:tcW w:w="4938" w:type="dxa"/>
            <w:noWrap w:val="0"/>
            <w:vAlign w:val="center"/>
          </w:tcPr>
          <w:p>
            <w:pPr>
              <w:adjustRightInd w:val="0"/>
              <w:snapToGrid w:val="0"/>
              <w:spacing w:line="360" w:lineRule="auto"/>
              <w:jc w:val="both"/>
              <w:rPr>
                <w:rFonts w:cs="仿宋"/>
                <w:szCs w:val="21"/>
              </w:rPr>
            </w:pPr>
            <w:r>
              <w:rPr>
                <w:rFonts w:hint="eastAsia" w:cs="仿宋"/>
                <w:b/>
                <w:bCs/>
                <w:szCs w:val="21"/>
                <w:highlight w:val="none"/>
                <w:u w:val="single"/>
              </w:rPr>
              <w:t>评审价格为供应商在响应函中填报的大写含税价格</w:t>
            </w:r>
            <w:r>
              <w:rPr>
                <w:rFonts w:hint="eastAsia" w:cs="仿宋"/>
                <w:b/>
                <w:bCs/>
                <w:szCs w:val="21"/>
                <w:highlight w:val="none"/>
                <w:u w:val="single"/>
                <w:lang w:val="en-US" w:eastAsia="zh-CN"/>
              </w:rPr>
              <w:t>及多轮报价中的清单报价合计含税金额</w:t>
            </w:r>
            <w:r>
              <w:rPr>
                <w:rFonts w:hint="eastAsia" w:cs="仿宋"/>
                <w:b/>
                <w:bCs/>
                <w:szCs w:val="21"/>
                <w:highlight w:val="none"/>
                <w:u w:val="singl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039" w:type="dxa"/>
            <w:gridSpan w:val="4"/>
            <w:noWrap w:val="0"/>
            <w:vAlign w:val="center"/>
          </w:tcPr>
          <w:p>
            <w:pPr>
              <w:adjustRightInd w:val="0"/>
              <w:snapToGrid w:val="0"/>
              <w:spacing w:line="360" w:lineRule="auto"/>
              <w:jc w:val="both"/>
              <w:rPr>
                <w:rFonts w:cs="仿宋"/>
                <w:szCs w:val="21"/>
              </w:rPr>
            </w:pPr>
            <w:r>
              <w:rPr>
                <w:rFonts w:hint="eastAsia" w:cs="仿宋"/>
                <w:szCs w:val="21"/>
              </w:rPr>
              <w:t>3 详细评审标准和程序（最低价法）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40" w:type="dxa"/>
            <w:gridSpan w:val="2"/>
            <w:noWrap w:val="0"/>
            <w:vAlign w:val="center"/>
          </w:tcPr>
          <w:p>
            <w:pPr>
              <w:adjustRightInd w:val="0"/>
              <w:snapToGrid w:val="0"/>
              <w:spacing w:line="360" w:lineRule="auto"/>
              <w:jc w:val="both"/>
              <w:rPr>
                <w:rFonts w:cs="仿宋"/>
                <w:szCs w:val="21"/>
              </w:rPr>
            </w:pPr>
            <w:r>
              <w:rPr>
                <w:rFonts w:hint="eastAsia" w:cs="仿宋"/>
                <w:szCs w:val="21"/>
              </w:rPr>
              <w:t>3.2</w:t>
            </w:r>
          </w:p>
        </w:tc>
        <w:tc>
          <w:tcPr>
            <w:tcW w:w="1961" w:type="dxa"/>
            <w:noWrap w:val="0"/>
            <w:vAlign w:val="center"/>
          </w:tcPr>
          <w:p>
            <w:pPr>
              <w:adjustRightInd w:val="0"/>
              <w:snapToGrid w:val="0"/>
              <w:spacing w:line="360" w:lineRule="auto"/>
              <w:jc w:val="both"/>
              <w:rPr>
                <w:rFonts w:cs="仿宋"/>
                <w:szCs w:val="21"/>
                <w:highlight w:val="none"/>
              </w:rPr>
            </w:pPr>
            <w:r>
              <w:rPr>
                <w:rFonts w:hint="eastAsia" w:cs="仿宋"/>
                <w:szCs w:val="21"/>
                <w:highlight w:val="none"/>
              </w:rPr>
              <w:t>供应商并列时确定供应商优先顺序的规则</w:t>
            </w:r>
          </w:p>
        </w:tc>
        <w:tc>
          <w:tcPr>
            <w:tcW w:w="4938" w:type="dxa"/>
            <w:noWrap w:val="0"/>
            <w:vAlign w:val="center"/>
          </w:tcPr>
          <w:p>
            <w:pPr>
              <w:adjustRightInd w:val="0"/>
              <w:snapToGrid w:val="0"/>
              <w:spacing w:line="360" w:lineRule="auto"/>
              <w:jc w:val="both"/>
              <w:rPr>
                <w:rFonts w:cs="仿宋"/>
                <w:szCs w:val="21"/>
                <w:highlight w:val="none"/>
              </w:rPr>
            </w:pPr>
            <w:r>
              <w:rPr>
                <w:rFonts w:hint="eastAsia"/>
                <w:highlight w:val="none"/>
                <w:lang w:eastAsia="zh-CN"/>
              </w:rPr>
              <w:t>☑</w:t>
            </w:r>
            <w:r>
              <w:rPr>
                <w:rFonts w:hint="eastAsia" w:cs="仿宋"/>
                <w:szCs w:val="21"/>
                <w:highlight w:val="none"/>
              </w:rPr>
              <w:t>由</w:t>
            </w:r>
            <w:r>
              <w:rPr>
                <w:rFonts w:hint="eastAsia" w:cs="仿宋"/>
                <w:szCs w:val="21"/>
                <w:highlight w:val="none"/>
                <w:lang w:val="en-US" w:eastAsia="zh-CN"/>
              </w:rPr>
              <w:t>评审</w:t>
            </w:r>
            <w:r>
              <w:rPr>
                <w:rFonts w:hint="eastAsia" w:cs="仿宋"/>
                <w:szCs w:val="21"/>
                <w:highlight w:val="none"/>
              </w:rPr>
              <w:t>小组投票决定</w:t>
            </w:r>
          </w:p>
          <w:p>
            <w:pPr>
              <w:adjustRightInd w:val="0"/>
              <w:snapToGrid w:val="0"/>
              <w:spacing w:line="360" w:lineRule="auto"/>
              <w:jc w:val="both"/>
              <w:rPr>
                <w:rFonts w:cs="仿宋"/>
                <w:b/>
                <w:bCs/>
                <w:szCs w:val="21"/>
                <w:highlight w:val="none"/>
                <w:u w:val="single"/>
              </w:rPr>
            </w:pPr>
            <w:r>
              <w:rPr>
                <w:rFonts w:hint="eastAsia"/>
                <w:highlight w:val="none"/>
                <w:lang w:eastAsia="zh-CN"/>
              </w:rPr>
              <w:t>□</w:t>
            </w:r>
            <w:r>
              <w:rPr>
                <w:rFonts w:hint="eastAsia" w:cs="仿宋"/>
                <w:b/>
                <w:bCs/>
                <w:szCs w:val="21"/>
                <w:highlight w:val="none"/>
                <w:u w:val="single"/>
              </w:rPr>
              <w:t>由评审小组抽签决定</w:t>
            </w:r>
          </w:p>
          <w:p>
            <w:pPr>
              <w:adjustRightInd w:val="0"/>
              <w:snapToGrid w:val="0"/>
              <w:spacing w:line="360" w:lineRule="auto"/>
              <w:jc w:val="both"/>
              <w:rPr>
                <w:rFonts w:cs="仿宋"/>
                <w:szCs w:val="21"/>
                <w:highlight w:val="none"/>
              </w:rPr>
            </w:pPr>
            <w:r>
              <w:rPr>
                <w:rFonts w:hint="eastAsia"/>
                <w:highlight w:val="none"/>
                <w:lang w:eastAsia="zh-CN"/>
              </w:rPr>
              <w:t>□</w:t>
            </w:r>
            <w:r>
              <w:rPr>
                <w:rFonts w:hint="eastAsia" w:cs="仿宋"/>
                <w:szCs w:val="21"/>
                <w:highlight w:val="none"/>
              </w:rPr>
              <w:t>其他方法：最先递交响应文件者优先</w:t>
            </w:r>
          </w:p>
        </w:tc>
      </w:tr>
    </w:tbl>
    <w:p>
      <w:pPr>
        <w:adjustRightInd w:val="0"/>
        <w:snapToGrid w:val="0"/>
        <w:spacing w:line="600" w:lineRule="exact"/>
        <w:jc w:val="center"/>
        <w:rPr>
          <w:rFonts w:eastAsia="华文中宋" w:cs="仿宋"/>
          <w:b/>
          <w:bCs/>
          <w:szCs w:val="21"/>
        </w:rPr>
      </w:pPr>
    </w:p>
    <w:p>
      <w:pPr>
        <w:pStyle w:val="6"/>
        <w:rPr>
          <w:rFonts w:eastAsia="华文中宋" w:cs="仿宋"/>
          <w:b/>
          <w:bCs/>
          <w:szCs w:val="21"/>
        </w:rPr>
      </w:pPr>
    </w:p>
    <w:p>
      <w:pPr>
        <w:pStyle w:val="6"/>
        <w:ind w:left="0" w:leftChars="0" w:firstLine="0" w:firstLineChars="0"/>
        <w:rPr>
          <w:rFonts w:eastAsia="华文中宋" w:cs="仿宋"/>
          <w:b/>
          <w:bCs/>
          <w:szCs w:val="21"/>
        </w:rPr>
      </w:pPr>
    </w:p>
    <w:p>
      <w:pPr>
        <w:rPr>
          <w:rFonts w:hint="eastAsia" w:eastAsia="黑体"/>
          <w:sz w:val="32"/>
          <w:szCs w:val="32"/>
        </w:rPr>
      </w:pPr>
      <w:r>
        <w:rPr>
          <w:rFonts w:hint="eastAsia" w:eastAsia="黑体"/>
          <w:sz w:val="32"/>
          <w:szCs w:val="32"/>
        </w:rPr>
        <w:br w:type="page"/>
      </w:r>
    </w:p>
    <w:p>
      <w:pPr>
        <w:spacing w:line="600" w:lineRule="exact"/>
        <w:jc w:val="center"/>
        <w:outlineLvl w:val="0"/>
        <w:rPr>
          <w:rFonts w:eastAsia="黑体"/>
          <w:sz w:val="32"/>
          <w:szCs w:val="32"/>
        </w:rPr>
      </w:pPr>
      <w:r>
        <w:rPr>
          <w:rFonts w:hint="eastAsia" w:eastAsia="黑体"/>
          <w:sz w:val="32"/>
          <w:szCs w:val="32"/>
        </w:rPr>
        <w:t>评审办法正文</w:t>
      </w:r>
    </w:p>
    <w:p>
      <w:pPr>
        <w:adjustRightInd w:val="0"/>
        <w:snapToGrid w:val="0"/>
        <w:spacing w:line="600" w:lineRule="exact"/>
        <w:rPr>
          <w:rFonts w:cs="仿宋"/>
          <w:b/>
          <w:bCs/>
          <w:sz w:val="24"/>
          <w:szCs w:val="21"/>
        </w:rPr>
      </w:pPr>
      <w:r>
        <w:rPr>
          <w:rFonts w:hint="eastAsia" w:cs="仿宋"/>
          <w:b/>
          <w:bCs/>
          <w:sz w:val="24"/>
          <w:szCs w:val="21"/>
        </w:rPr>
        <w:t>1评审方法(最低价法)</w:t>
      </w:r>
    </w:p>
    <w:p>
      <w:pPr>
        <w:adjustRightInd w:val="0"/>
        <w:snapToGrid w:val="0"/>
        <w:spacing w:line="600" w:lineRule="exact"/>
        <w:ind w:firstLine="453" w:firstLineChars="189"/>
        <w:rPr>
          <w:rFonts w:cs="仿宋"/>
          <w:sz w:val="24"/>
          <w:szCs w:val="21"/>
        </w:rPr>
      </w:pPr>
      <w:r>
        <w:rPr>
          <w:rFonts w:hint="eastAsia" w:cs="仿宋"/>
          <w:sz w:val="24"/>
          <w:szCs w:val="21"/>
        </w:rPr>
        <w:t>本次评审采用最低价法。谈判小组对满足竞争性谈判文件实质性要求的响应文件按照本章第2.2.2项规定的方法确定供应商响应报价的评审价格，并按照评审价格由低到高的顺序推荐候选成交供应商（有抵扣要求的采购项目，按附录比价）。</w:t>
      </w:r>
    </w:p>
    <w:p>
      <w:pPr>
        <w:adjustRightInd w:val="0"/>
        <w:snapToGrid w:val="0"/>
        <w:spacing w:line="600" w:lineRule="exact"/>
        <w:rPr>
          <w:rFonts w:cs="仿宋"/>
          <w:b/>
          <w:bCs/>
          <w:sz w:val="24"/>
          <w:szCs w:val="21"/>
        </w:rPr>
      </w:pPr>
      <w:r>
        <w:rPr>
          <w:rFonts w:hint="eastAsia" w:cs="仿宋"/>
          <w:b/>
          <w:bCs/>
          <w:sz w:val="24"/>
          <w:szCs w:val="21"/>
        </w:rPr>
        <w:t>2初步评审标准和程序</w:t>
      </w:r>
    </w:p>
    <w:p>
      <w:pPr>
        <w:adjustRightInd w:val="0"/>
        <w:snapToGrid w:val="0"/>
        <w:spacing w:line="600" w:lineRule="exact"/>
        <w:rPr>
          <w:rFonts w:cs="仿宋"/>
          <w:b/>
          <w:bCs/>
          <w:sz w:val="24"/>
          <w:szCs w:val="21"/>
        </w:rPr>
      </w:pPr>
      <w:r>
        <w:rPr>
          <w:rFonts w:hint="eastAsia" w:cs="仿宋"/>
          <w:b/>
          <w:bCs/>
          <w:sz w:val="24"/>
          <w:szCs w:val="21"/>
        </w:rPr>
        <w:t>2.1初步评审标准</w:t>
      </w:r>
    </w:p>
    <w:p>
      <w:pPr>
        <w:adjustRightInd w:val="0"/>
        <w:snapToGrid w:val="0"/>
        <w:spacing w:line="600" w:lineRule="exact"/>
        <w:ind w:firstLine="453" w:firstLineChars="189"/>
        <w:rPr>
          <w:rFonts w:cs="仿宋"/>
          <w:sz w:val="24"/>
          <w:szCs w:val="21"/>
        </w:rPr>
      </w:pPr>
      <w:r>
        <w:rPr>
          <w:rFonts w:hint="eastAsia" w:cs="仿宋"/>
          <w:sz w:val="24"/>
          <w:szCs w:val="21"/>
        </w:rPr>
        <w:t>2.1.1形式评审标准:见评审办法前附表。</w:t>
      </w:r>
    </w:p>
    <w:p>
      <w:pPr>
        <w:adjustRightInd w:val="0"/>
        <w:snapToGrid w:val="0"/>
        <w:spacing w:line="600" w:lineRule="exact"/>
        <w:ind w:firstLine="453" w:firstLineChars="189"/>
        <w:rPr>
          <w:rFonts w:cs="仿宋"/>
          <w:sz w:val="24"/>
          <w:szCs w:val="21"/>
        </w:rPr>
      </w:pPr>
      <w:r>
        <w:rPr>
          <w:rFonts w:hint="eastAsia" w:cs="仿宋"/>
          <w:sz w:val="24"/>
          <w:szCs w:val="21"/>
        </w:rPr>
        <w:t>2.1.2资格评审标准:见评审办法前附表。</w:t>
      </w:r>
    </w:p>
    <w:p>
      <w:pPr>
        <w:adjustRightInd w:val="0"/>
        <w:snapToGrid w:val="0"/>
        <w:spacing w:line="600" w:lineRule="exact"/>
        <w:ind w:firstLine="453" w:firstLineChars="189"/>
        <w:rPr>
          <w:rFonts w:cs="仿宋"/>
          <w:sz w:val="24"/>
          <w:szCs w:val="21"/>
        </w:rPr>
      </w:pPr>
      <w:r>
        <w:rPr>
          <w:rFonts w:hint="eastAsia" w:cs="仿宋"/>
          <w:sz w:val="24"/>
          <w:szCs w:val="21"/>
        </w:rPr>
        <w:t>2.1.3响应性评审标准:见评审办法前附表。</w:t>
      </w:r>
    </w:p>
    <w:p>
      <w:pPr>
        <w:adjustRightInd w:val="0"/>
        <w:snapToGrid w:val="0"/>
        <w:spacing w:line="600" w:lineRule="exact"/>
        <w:rPr>
          <w:rFonts w:cs="仿宋"/>
          <w:b/>
          <w:bCs/>
          <w:sz w:val="24"/>
          <w:szCs w:val="21"/>
        </w:rPr>
      </w:pPr>
      <w:r>
        <w:rPr>
          <w:rFonts w:hint="eastAsia" w:cs="仿宋"/>
          <w:b/>
          <w:bCs/>
          <w:sz w:val="24"/>
          <w:szCs w:val="21"/>
        </w:rPr>
        <w:t>2.2初步评审程序</w:t>
      </w:r>
    </w:p>
    <w:p>
      <w:pPr>
        <w:adjustRightInd w:val="0"/>
        <w:snapToGrid w:val="0"/>
        <w:spacing w:line="600" w:lineRule="exact"/>
        <w:ind w:firstLine="453" w:firstLineChars="189"/>
        <w:rPr>
          <w:rFonts w:cs="仿宋"/>
          <w:sz w:val="24"/>
          <w:szCs w:val="21"/>
        </w:rPr>
      </w:pPr>
      <w:r>
        <w:rPr>
          <w:rFonts w:hint="eastAsia" w:cs="仿宋"/>
          <w:sz w:val="24"/>
          <w:szCs w:val="21"/>
        </w:rPr>
        <w:t>2.2.1评审小组依据本章第2.1款规定的标准对供应商速交的响应文件进行初步评审，判断响应文件的形式是否符合要求，供应商是否符合资格条件，响应文件是否实质性响应竞争性谈判文件的要求。只有以上评审合格的响应文件才可通过初步评审。</w:t>
      </w:r>
    </w:p>
    <w:p>
      <w:pPr>
        <w:adjustRightInd w:val="0"/>
        <w:snapToGrid w:val="0"/>
        <w:spacing w:line="600" w:lineRule="exact"/>
        <w:ind w:firstLine="453" w:firstLineChars="189"/>
        <w:rPr>
          <w:rFonts w:cs="仿宋"/>
          <w:sz w:val="24"/>
          <w:szCs w:val="21"/>
        </w:rPr>
      </w:pPr>
      <w:r>
        <w:rPr>
          <w:rFonts w:hint="eastAsia" w:cs="仿宋"/>
          <w:sz w:val="24"/>
          <w:szCs w:val="21"/>
        </w:rPr>
        <w:t>2.2.2除评审办法前附表另有规定外，评审价格为供应商在响应函中填报的大写含税价格。</w:t>
      </w:r>
    </w:p>
    <w:p>
      <w:pPr>
        <w:adjustRightInd w:val="0"/>
        <w:snapToGrid w:val="0"/>
        <w:spacing w:line="600" w:lineRule="exact"/>
        <w:ind w:firstLine="453" w:firstLineChars="189"/>
        <w:rPr>
          <w:rFonts w:cs="仿宋"/>
          <w:sz w:val="24"/>
          <w:szCs w:val="21"/>
        </w:rPr>
      </w:pPr>
      <w:r>
        <w:rPr>
          <w:rFonts w:hint="eastAsia" w:cs="仿宋"/>
          <w:sz w:val="24"/>
          <w:szCs w:val="21"/>
        </w:rPr>
        <w:t>评审价格若超过最高限价(如有)，其响应文件将被视为无效。</w:t>
      </w:r>
    </w:p>
    <w:p>
      <w:pPr>
        <w:adjustRightInd w:val="0"/>
        <w:snapToGrid w:val="0"/>
        <w:spacing w:line="600" w:lineRule="exact"/>
        <w:ind w:firstLine="453" w:firstLineChars="189"/>
        <w:rPr>
          <w:rFonts w:cs="仿宋"/>
          <w:sz w:val="24"/>
          <w:szCs w:val="21"/>
        </w:rPr>
      </w:pPr>
      <w:r>
        <w:rPr>
          <w:rFonts w:hint="eastAsia" w:cs="仿宋"/>
          <w:sz w:val="24"/>
          <w:szCs w:val="21"/>
        </w:rPr>
        <w:t>谈判小组经过对供应商的报价进行比较或基于专业经验认为某一供应商的报价异常过低，可能对其履约造成影响时，应当要求该供应商作出书面说明并提供相应的证明材料。供应商不能合理说明或者不能提供相应证明材料的，其响应文件将被视为无效。</w:t>
      </w:r>
    </w:p>
    <w:p>
      <w:pPr>
        <w:adjustRightInd w:val="0"/>
        <w:snapToGrid w:val="0"/>
        <w:spacing w:line="600" w:lineRule="exact"/>
        <w:ind w:firstLine="453" w:firstLineChars="189"/>
        <w:rPr>
          <w:rFonts w:cs="仿宋"/>
          <w:sz w:val="24"/>
          <w:szCs w:val="21"/>
        </w:rPr>
      </w:pPr>
      <w:r>
        <w:rPr>
          <w:rFonts w:hint="eastAsia" w:cs="仿宋"/>
          <w:sz w:val="24"/>
          <w:szCs w:val="21"/>
        </w:rPr>
        <w:t>2.2.3响应文件中有含义不明确、同类问题表述不一致或有明显文字和计算错误的内容，评审小组可要求供应商在规定时间内进行澄清、说明和补正。供应商澄清、说明和补正的内容应由法定代表人(单位负责人)或其授权的代理人签字或加盖单位章。澄清、说明和补正不得超出响应文件的范围且不得改变响应文件的实质性内容，并构成响应文件的组成部分。</w:t>
      </w:r>
    </w:p>
    <w:p>
      <w:pPr>
        <w:adjustRightInd w:val="0"/>
        <w:snapToGrid w:val="0"/>
        <w:spacing w:line="600" w:lineRule="exact"/>
        <w:ind w:firstLine="453" w:firstLineChars="189"/>
        <w:rPr>
          <w:rFonts w:cs="仿宋"/>
          <w:sz w:val="24"/>
          <w:szCs w:val="21"/>
        </w:rPr>
      </w:pPr>
      <w:r>
        <w:rPr>
          <w:rFonts w:hint="eastAsia" w:cs="仿宋"/>
          <w:sz w:val="24"/>
          <w:szCs w:val="21"/>
        </w:rPr>
        <w:t>报价有算术错误及其他错误的，评审小组按以下原则要求供应商对报价进行修正，并要求供应商书面澄清确认。供应商拒不澄清确认的，其响应文件将被视为无效:</w:t>
      </w:r>
    </w:p>
    <w:p>
      <w:pPr>
        <w:tabs>
          <w:tab w:val="left" w:pos="312"/>
        </w:tabs>
        <w:adjustRightInd w:val="0"/>
        <w:snapToGrid w:val="0"/>
        <w:spacing w:line="600" w:lineRule="exact"/>
        <w:ind w:firstLine="453" w:firstLineChars="189"/>
        <w:rPr>
          <w:rFonts w:cs="仿宋"/>
          <w:sz w:val="24"/>
          <w:szCs w:val="21"/>
        </w:rPr>
      </w:pPr>
      <w:r>
        <w:rPr>
          <w:rFonts w:hint="eastAsia" w:cs="仿宋"/>
          <w:sz w:val="24"/>
          <w:szCs w:val="21"/>
        </w:rPr>
        <w:t>(1)大写金额与小写金额不一致的，以大写金额为准;</w:t>
      </w:r>
    </w:p>
    <w:p>
      <w:pPr>
        <w:tabs>
          <w:tab w:val="left" w:pos="312"/>
        </w:tabs>
        <w:adjustRightInd w:val="0"/>
        <w:snapToGrid w:val="0"/>
        <w:spacing w:line="600" w:lineRule="exact"/>
        <w:ind w:firstLine="453" w:firstLineChars="189"/>
        <w:rPr>
          <w:rFonts w:cs="仿宋"/>
          <w:sz w:val="24"/>
          <w:szCs w:val="21"/>
        </w:rPr>
      </w:pPr>
      <w:r>
        <w:rPr>
          <w:rFonts w:hint="eastAsia" w:cs="仿宋"/>
          <w:sz w:val="24"/>
          <w:szCs w:val="21"/>
        </w:rPr>
        <w:t>(2)总价金额与单价金额不一致的，以单价金额为准，但单价金额小数点有明显错误的除外;</w:t>
      </w:r>
    </w:p>
    <w:p>
      <w:pPr>
        <w:adjustRightInd w:val="0"/>
        <w:snapToGrid w:val="0"/>
        <w:spacing w:line="600" w:lineRule="exact"/>
        <w:ind w:firstLine="453" w:firstLineChars="189"/>
        <w:rPr>
          <w:rFonts w:cs="仿宋"/>
          <w:sz w:val="24"/>
          <w:szCs w:val="21"/>
        </w:rPr>
      </w:pPr>
      <w:r>
        <w:rPr>
          <w:rFonts w:hint="eastAsia" w:cs="仿宋"/>
          <w:sz w:val="24"/>
          <w:szCs w:val="21"/>
        </w:rPr>
        <w:t>(3)报价表合计报价与分项报价的合计不一致的，以各分项报价的合价累计数为准;</w:t>
      </w:r>
    </w:p>
    <w:p>
      <w:pPr>
        <w:adjustRightInd w:val="0"/>
        <w:snapToGrid w:val="0"/>
        <w:spacing w:line="600" w:lineRule="exact"/>
        <w:ind w:firstLine="453" w:firstLineChars="189"/>
        <w:rPr>
          <w:rFonts w:cs="仿宋"/>
          <w:sz w:val="24"/>
          <w:szCs w:val="21"/>
        </w:rPr>
      </w:pPr>
      <w:r>
        <w:rPr>
          <w:rFonts w:hint="eastAsia" w:cs="仿宋"/>
          <w:sz w:val="24"/>
          <w:szCs w:val="21"/>
        </w:rPr>
        <w:t>(4)如果分项报价中存在缺漏项，且缺漏项内容不属于实质性偏差的，则视为缺漏项内容的价格已包含在其他分项报价之中。</w:t>
      </w:r>
    </w:p>
    <w:p>
      <w:pPr>
        <w:adjustRightInd w:val="0"/>
        <w:snapToGrid w:val="0"/>
        <w:spacing w:line="600" w:lineRule="exact"/>
        <w:ind w:firstLine="453" w:firstLineChars="189"/>
        <w:rPr>
          <w:rFonts w:cs="仿宋"/>
          <w:sz w:val="24"/>
          <w:szCs w:val="21"/>
        </w:rPr>
      </w:pPr>
      <w:r>
        <w:rPr>
          <w:rFonts w:hint="eastAsia" w:cs="仿宋"/>
          <w:sz w:val="24"/>
          <w:szCs w:val="21"/>
        </w:rPr>
        <w:t>(5)响应报价的算术错误修正不改变评审依据的响应总报价。当修正后的总报价高于原响应报价时，视同供应商响应报价错误产生少漏计费用，签订合同时由供应商承担，如评审小组认为供应商无法承受少漏计费用，可以将响应报价作为异常低价处理；当修正后的总报价低于原响应报价时，签订合同时以修正后的报价为准。2.2.4供应商有串通，弄虚作假、行贿等违法行为的，其响应文件将被视为无效。</w:t>
      </w:r>
    </w:p>
    <w:p>
      <w:pPr>
        <w:adjustRightInd w:val="0"/>
        <w:snapToGrid w:val="0"/>
        <w:spacing w:line="600" w:lineRule="exact"/>
        <w:ind w:firstLine="453" w:firstLineChars="189"/>
        <w:rPr>
          <w:rFonts w:cs="仿宋"/>
          <w:sz w:val="24"/>
          <w:szCs w:val="21"/>
        </w:rPr>
      </w:pPr>
      <w:r>
        <w:rPr>
          <w:rFonts w:hint="eastAsia" w:cs="仿宋"/>
          <w:sz w:val="24"/>
          <w:szCs w:val="21"/>
        </w:rPr>
        <w:t>2.2.4供应商有串通，弄虚作假、行贿等违法行为的，其响应文件将被视为无效。</w:t>
      </w:r>
    </w:p>
    <w:p>
      <w:pPr>
        <w:adjustRightInd w:val="0"/>
        <w:snapToGrid w:val="0"/>
        <w:spacing w:line="600" w:lineRule="exact"/>
        <w:ind w:firstLine="453" w:firstLineChars="189"/>
        <w:rPr>
          <w:rFonts w:cs="仿宋"/>
          <w:sz w:val="24"/>
          <w:szCs w:val="21"/>
        </w:rPr>
      </w:pPr>
      <w:r>
        <w:rPr>
          <w:rFonts w:hint="eastAsia" w:cs="仿宋"/>
          <w:sz w:val="24"/>
          <w:szCs w:val="21"/>
        </w:rPr>
        <w:t>2.2.5特殊情形处理</w:t>
      </w:r>
    </w:p>
    <w:p>
      <w:pPr>
        <w:adjustRightInd w:val="0"/>
        <w:snapToGrid w:val="0"/>
        <w:spacing w:line="600" w:lineRule="exact"/>
        <w:ind w:firstLine="453" w:firstLineChars="189"/>
        <w:rPr>
          <w:rFonts w:cs="仿宋"/>
          <w:sz w:val="24"/>
          <w:szCs w:val="21"/>
        </w:rPr>
      </w:pPr>
      <w:r>
        <w:rPr>
          <w:rFonts w:hint="eastAsia" w:cs="仿宋"/>
          <w:sz w:val="24"/>
          <w:szCs w:val="21"/>
        </w:rPr>
        <w:t>初步评审后，如评审小组认为所有响应文件均无效，或者所有响应报价竞争性不足，高于市场预期价格，评审小组应当终止评审，或经采购人同意，直接转换选择其他采购方式，与原供应商共同完成后续采购程序。</w:t>
      </w:r>
    </w:p>
    <w:p>
      <w:pPr>
        <w:adjustRightInd w:val="0"/>
        <w:snapToGrid w:val="0"/>
        <w:spacing w:line="600" w:lineRule="exact"/>
        <w:ind w:firstLine="453" w:firstLineChars="189"/>
        <w:rPr>
          <w:rFonts w:cs="仿宋"/>
          <w:sz w:val="24"/>
          <w:szCs w:val="21"/>
        </w:rPr>
      </w:pPr>
      <w:r>
        <w:rPr>
          <w:rFonts w:hint="eastAsia" w:cs="仿宋"/>
          <w:sz w:val="24"/>
          <w:szCs w:val="21"/>
        </w:rPr>
        <w:t>选择直接转换采购方式采购的，评审小组按照本章第5条“直接转换采购方式评审程序”重新评审。除了采购人与供应商双方提出修改补充并接受新的条件和要求外，原竞争性谈判文件与原响应文件对采购人和供应商仍然具有相应约束力。</w:t>
      </w:r>
    </w:p>
    <w:p>
      <w:pPr>
        <w:adjustRightInd w:val="0"/>
        <w:snapToGrid w:val="0"/>
        <w:spacing w:line="600" w:lineRule="exact"/>
        <w:rPr>
          <w:rFonts w:cs="仿宋"/>
          <w:b/>
          <w:bCs/>
          <w:sz w:val="24"/>
          <w:szCs w:val="21"/>
        </w:rPr>
      </w:pPr>
      <w:r>
        <w:rPr>
          <w:rFonts w:hint="eastAsia" w:cs="仿宋"/>
          <w:b/>
          <w:bCs/>
          <w:sz w:val="24"/>
          <w:szCs w:val="21"/>
        </w:rPr>
        <w:t>3详细评审标准和程序(最低价法)</w:t>
      </w:r>
    </w:p>
    <w:p>
      <w:pPr>
        <w:adjustRightInd w:val="0"/>
        <w:snapToGrid w:val="0"/>
        <w:spacing w:line="600" w:lineRule="exact"/>
        <w:ind w:firstLine="453" w:firstLineChars="189"/>
        <w:rPr>
          <w:rFonts w:cs="仿宋"/>
          <w:sz w:val="24"/>
          <w:szCs w:val="21"/>
        </w:rPr>
      </w:pPr>
      <w:r>
        <w:rPr>
          <w:rFonts w:hint="eastAsia" w:cs="仿宋"/>
          <w:sz w:val="24"/>
          <w:szCs w:val="21"/>
        </w:rPr>
        <w:t>谈判小组对评审价格进行比较后，按照评审价格由低到高的顺序对供应商排序。供应商评审价格相等时，按照评审办法前附表的规定确定供应商优先顺序。</w:t>
      </w:r>
    </w:p>
    <w:p>
      <w:pPr>
        <w:adjustRightInd w:val="0"/>
        <w:snapToGrid w:val="0"/>
        <w:spacing w:line="600" w:lineRule="exact"/>
        <w:rPr>
          <w:rFonts w:cs="仿宋"/>
          <w:b/>
          <w:bCs/>
          <w:sz w:val="24"/>
          <w:szCs w:val="21"/>
        </w:rPr>
      </w:pPr>
      <w:r>
        <w:rPr>
          <w:rFonts w:hint="eastAsia" w:cs="仿宋"/>
          <w:b/>
          <w:bCs/>
          <w:sz w:val="24"/>
          <w:szCs w:val="21"/>
        </w:rPr>
        <w:t>4评审结果</w:t>
      </w:r>
    </w:p>
    <w:p>
      <w:pPr>
        <w:adjustRightInd w:val="0"/>
        <w:snapToGrid w:val="0"/>
        <w:spacing w:line="600" w:lineRule="exact"/>
        <w:rPr>
          <w:rFonts w:cs="仿宋"/>
          <w:b/>
          <w:bCs/>
          <w:sz w:val="24"/>
          <w:szCs w:val="21"/>
        </w:rPr>
      </w:pPr>
      <w:r>
        <w:rPr>
          <w:rFonts w:hint="eastAsia" w:cs="仿宋"/>
          <w:b/>
          <w:bCs/>
          <w:sz w:val="24"/>
          <w:szCs w:val="21"/>
        </w:rPr>
        <w:t>4.1提交书面</w:t>
      </w:r>
      <w:r>
        <w:rPr>
          <w:rFonts w:hint="eastAsia" w:cs="仿宋"/>
          <w:b/>
          <w:bCs/>
          <w:sz w:val="24"/>
          <w:szCs w:val="21"/>
          <w:lang w:val="en-US" w:eastAsia="zh-CN"/>
        </w:rPr>
        <w:t>谈判</w:t>
      </w:r>
      <w:r>
        <w:rPr>
          <w:rFonts w:hint="eastAsia" w:cs="仿宋"/>
          <w:b/>
          <w:bCs/>
          <w:sz w:val="24"/>
          <w:szCs w:val="21"/>
        </w:rPr>
        <w:t>报告</w:t>
      </w:r>
    </w:p>
    <w:p>
      <w:pPr>
        <w:adjustRightInd w:val="0"/>
        <w:snapToGrid w:val="0"/>
        <w:spacing w:line="600" w:lineRule="exact"/>
        <w:ind w:firstLine="453" w:firstLineChars="189"/>
        <w:rPr>
          <w:rFonts w:cs="仿宋"/>
          <w:sz w:val="24"/>
          <w:szCs w:val="21"/>
          <w:highlight w:val="none"/>
        </w:rPr>
      </w:pPr>
      <w:r>
        <w:rPr>
          <w:rFonts w:hint="eastAsia" w:cs="仿宋"/>
          <w:sz w:val="24"/>
          <w:szCs w:val="21"/>
          <w:highlight w:val="none"/>
        </w:rPr>
        <w:t>谈判小组完成评审后，应当向采购人提交书面</w:t>
      </w:r>
      <w:r>
        <w:rPr>
          <w:rFonts w:hint="eastAsia" w:cs="仿宋"/>
          <w:sz w:val="24"/>
          <w:szCs w:val="21"/>
          <w:highlight w:val="none"/>
          <w:lang w:val="en-US" w:eastAsia="zh-CN"/>
        </w:rPr>
        <w:t>谈判会议纪要</w:t>
      </w:r>
      <w:r>
        <w:rPr>
          <w:rFonts w:hint="eastAsia" w:cs="仿宋"/>
          <w:sz w:val="24"/>
          <w:szCs w:val="21"/>
          <w:highlight w:val="none"/>
        </w:rPr>
        <w:t>。</w:t>
      </w:r>
    </w:p>
    <w:p>
      <w:pPr>
        <w:adjustRightInd w:val="0"/>
        <w:snapToGrid w:val="0"/>
        <w:spacing w:line="600" w:lineRule="exact"/>
        <w:rPr>
          <w:rFonts w:cs="仿宋"/>
          <w:b/>
          <w:bCs/>
          <w:sz w:val="24"/>
          <w:szCs w:val="21"/>
        </w:rPr>
      </w:pPr>
      <w:r>
        <w:rPr>
          <w:rFonts w:hint="eastAsia" w:cs="仿宋"/>
          <w:b/>
          <w:bCs/>
          <w:sz w:val="24"/>
          <w:szCs w:val="21"/>
        </w:rPr>
        <w:t>4.2推荐候选成交供应商排序要求及数量</w:t>
      </w:r>
    </w:p>
    <w:p>
      <w:pPr>
        <w:adjustRightInd w:val="0"/>
        <w:snapToGrid w:val="0"/>
        <w:spacing w:line="600" w:lineRule="exact"/>
        <w:ind w:firstLine="453" w:firstLineChars="189"/>
        <w:rPr>
          <w:rFonts w:ascii="Times New Roman" w:hAnsi="Times New Roman" w:eastAsia="黑体" w:cs="仿宋"/>
          <w:b/>
          <w:color w:val="000000"/>
          <w:sz w:val="44"/>
          <w:szCs w:val="44"/>
        </w:rPr>
        <w:sectPr>
          <w:pgSz w:w="11910" w:h="16840"/>
          <w:pgMar w:top="1140" w:right="1417" w:bottom="731" w:left="1587" w:header="874" w:footer="0" w:gutter="0"/>
          <w:cols w:space="720" w:num="1"/>
        </w:sectPr>
      </w:pPr>
      <w:r>
        <w:rPr>
          <w:rFonts w:hint="eastAsia" w:cs="仿宋"/>
          <w:sz w:val="24"/>
          <w:szCs w:val="21"/>
        </w:rPr>
        <w:t>谈判小组应在书面</w:t>
      </w:r>
      <w:r>
        <w:rPr>
          <w:rFonts w:hint="eastAsia" w:cs="仿宋"/>
          <w:sz w:val="24"/>
          <w:szCs w:val="21"/>
          <w:lang w:val="en-US" w:eastAsia="zh-CN"/>
        </w:rPr>
        <w:t>谈判会议纪要</w:t>
      </w:r>
      <w:r>
        <w:rPr>
          <w:rFonts w:hint="eastAsia" w:cs="仿宋"/>
          <w:sz w:val="24"/>
          <w:szCs w:val="21"/>
        </w:rPr>
        <w:t>中按照供应商排列的优先顺序向采购人推荐候选成交供应商(排序或不排序)。候选成交供应商的排序要求及数量见第二章“供应商须知”。</w:t>
      </w:r>
      <w:bookmarkStart w:id="0" w:name="_GoBack"/>
      <w:bookmarkEnd w:id="0"/>
    </w:p>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RjNzg5NzFlMWFiMjdlNzBjYzI0MDAxYTlmNTVhNGEifQ=="/>
  </w:docVars>
  <w:rsids>
    <w:rsidRoot w:val="1D6263C2"/>
    <w:rsid w:val="1D6263C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1"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qFormat="1" w:unhideWhenUsed="0" w:uiPriority="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spacing w:line="360" w:lineRule="exact"/>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1"/>
    <w:pPr>
      <w:keepNext/>
      <w:keepLines/>
      <w:spacing w:before="340" w:after="330"/>
      <w:jc w:val="center"/>
      <w:outlineLvl w:val="0"/>
    </w:pPr>
    <w:rPr>
      <w:rFonts w:eastAsia="黑体"/>
      <w:bCs/>
      <w:kern w:val="44"/>
      <w:sz w:val="44"/>
      <w:szCs w:val="44"/>
    </w:rPr>
  </w:style>
  <w:style w:type="character" w:default="1" w:styleId="8">
    <w:name w:val="Default Paragraph Font"/>
    <w:semiHidden/>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annotation text"/>
    <w:basedOn w:val="1"/>
    <w:semiHidden/>
    <w:qFormat/>
    <w:uiPriority w:val="0"/>
    <w:rPr>
      <w:kern w:val="0"/>
      <w:sz w:val="20"/>
    </w:rPr>
  </w:style>
  <w:style w:type="paragraph" w:styleId="4">
    <w:name w:val="Body Text Indent"/>
    <w:basedOn w:val="1"/>
    <w:next w:val="5"/>
    <w:unhideWhenUsed/>
    <w:qFormat/>
    <w:uiPriority w:val="99"/>
    <w:pPr>
      <w:spacing w:after="120"/>
      <w:ind w:left="420" w:leftChars="200"/>
    </w:pPr>
  </w:style>
  <w:style w:type="paragraph" w:styleId="5">
    <w:name w:val="annotation subject"/>
    <w:basedOn w:val="3"/>
    <w:next w:val="1"/>
    <w:semiHidden/>
    <w:qFormat/>
    <w:uiPriority w:val="0"/>
    <w:rPr>
      <w:rFonts w:ascii="Times New Roman" w:hAnsi="Times New Roman" w:eastAsia="宋体" w:cs="Times New Roman"/>
      <w:b/>
      <w:bCs/>
      <w:kern w:val="0"/>
      <w:sz w:val="20"/>
    </w:rPr>
  </w:style>
  <w:style w:type="paragraph" w:styleId="6">
    <w:name w:val="Body Text First Indent 2"/>
    <w:basedOn w:val="4"/>
    <w:unhideWhenUsed/>
    <w:qFormat/>
    <w:uiPriority w:val="99"/>
    <w:pPr>
      <w:ind w:firstLine="420" w:firstLineChars="200"/>
    </w:pPr>
  </w:style>
  <w:style w:type="paragraph" w:styleId="9">
    <w:name w:val="List Paragraph"/>
    <w:basedOn w:val="1"/>
    <w:qFormat/>
    <w:uiPriority w:val="1"/>
    <w:pPr>
      <w:ind w:firstLine="420" w:firstLineChars="200"/>
    </w:pPr>
    <w:rPr>
      <w:rFonts w:ascii="Calibri" w:hAnsi="Calibri"/>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2022-06-15T09:01:00Z</dcterms:created>
  <dc:creator>萝卜罗</dc:creator>
  <cp:lastModifiedBy>萝卜罗</cp:lastModifiedBy>
  <dcterms:modified xsi:type="dcterms:W3CDTF">2022-06-15T09:01:59Z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7B9CC19397C84206B0C3ECBE3530C878</vt:lpwstr>
  </property>
</Properties>
</file>