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6" w:leftChars="-85" w:right="-359" w:rightChars="-171" w:hanging="184" w:hangingChars="42"/>
        <w:jc w:val="center"/>
        <w:rPr>
          <w:rFonts w:ascii="黑体" w:eastAsia="黑体"/>
          <w:bCs/>
          <w:sz w:val="44"/>
          <w:szCs w:val="36"/>
          <w:highlight w:val="none"/>
        </w:rPr>
      </w:pPr>
    </w:p>
    <w:p>
      <w:pPr>
        <w:ind w:left="6" w:leftChars="-85" w:right="-359" w:rightChars="-171" w:hanging="184" w:hangingChars="42"/>
        <w:jc w:val="center"/>
        <w:rPr>
          <w:rFonts w:hint="eastAsia" w:ascii="黑体" w:eastAsia="黑体"/>
          <w:bCs/>
          <w:sz w:val="44"/>
          <w:szCs w:val="36"/>
          <w:highlight w:val="none"/>
          <w:lang w:eastAsia="zh-CN"/>
        </w:rPr>
      </w:pPr>
      <w:r>
        <w:rPr>
          <w:rFonts w:hint="eastAsia" w:ascii="黑体" w:eastAsia="黑体"/>
          <w:bCs/>
          <w:sz w:val="44"/>
          <w:szCs w:val="36"/>
          <w:highlight w:val="none"/>
          <w:lang w:eastAsia="zh-CN"/>
        </w:rPr>
        <w:t>G59新新高速公路新宁分公司水土保持监测及环境监测服务</w:t>
      </w:r>
    </w:p>
    <w:p>
      <w:pPr>
        <w:ind w:left="6" w:leftChars="-85" w:right="-359" w:rightChars="-171" w:hanging="184" w:hangingChars="42"/>
        <w:jc w:val="center"/>
        <w:rPr>
          <w:rFonts w:ascii="黑体" w:eastAsia="黑体"/>
          <w:sz w:val="44"/>
          <w:szCs w:val="44"/>
          <w:highlight w:val="none"/>
        </w:rPr>
      </w:pPr>
    </w:p>
    <w:p>
      <w:pPr>
        <w:ind w:left="6" w:leftChars="-85" w:right="-359" w:rightChars="-171" w:hanging="184" w:hangingChars="42"/>
        <w:jc w:val="center"/>
        <w:rPr>
          <w:rFonts w:ascii="黑体" w:eastAsia="黑体"/>
          <w:sz w:val="44"/>
          <w:szCs w:val="44"/>
          <w:highlight w:val="none"/>
        </w:rPr>
      </w:pPr>
    </w:p>
    <w:p>
      <w:pPr>
        <w:ind w:left="6" w:leftChars="-85" w:right="-359" w:rightChars="-171" w:hanging="184" w:hangingChars="42"/>
        <w:jc w:val="center"/>
        <w:rPr>
          <w:rFonts w:ascii="黑体" w:eastAsia="黑体"/>
          <w:sz w:val="44"/>
          <w:szCs w:val="44"/>
          <w:highlight w:val="none"/>
        </w:rPr>
      </w:pPr>
    </w:p>
    <w:p>
      <w:pPr>
        <w:ind w:left="-44" w:leftChars="-85" w:right="-359" w:rightChars="-171" w:hanging="134" w:hangingChars="42"/>
        <w:jc w:val="center"/>
        <w:rPr>
          <w:rFonts w:ascii="华文行楷" w:eastAsia="华文行楷"/>
          <w:sz w:val="32"/>
          <w:szCs w:val="32"/>
          <w:highlight w:val="none"/>
        </w:rPr>
      </w:pPr>
    </w:p>
    <w:p>
      <w:pPr>
        <w:spacing w:line="360" w:lineRule="auto"/>
        <w:jc w:val="center"/>
        <w:rPr>
          <w:rFonts w:ascii="黑体" w:eastAsia="黑体"/>
          <w:sz w:val="110"/>
          <w:szCs w:val="110"/>
          <w:highlight w:val="none"/>
        </w:rPr>
      </w:pPr>
      <w:r>
        <w:rPr>
          <w:rFonts w:hint="eastAsia" w:ascii="黑体" w:eastAsia="黑体"/>
          <w:sz w:val="110"/>
          <w:szCs w:val="110"/>
          <w:highlight w:val="none"/>
        </w:rPr>
        <w:t>招 标 文 件</w:t>
      </w:r>
    </w:p>
    <w:p>
      <w:pPr>
        <w:spacing w:line="480" w:lineRule="auto"/>
        <w:jc w:val="center"/>
        <w:rPr>
          <w:rFonts w:ascii="黑体" w:eastAsia="黑体"/>
          <w:bCs/>
          <w:sz w:val="36"/>
          <w:szCs w:val="36"/>
          <w:highlight w:val="none"/>
        </w:rPr>
      </w:pPr>
      <w:r>
        <w:rPr>
          <w:rFonts w:hint="eastAsia" w:ascii="黑体" w:hAnsi="宋体" w:eastAsia="黑体"/>
          <w:sz w:val="28"/>
          <w:szCs w:val="32"/>
          <w:highlight w:val="none"/>
        </w:rPr>
        <w:t>招标编号：JHRZHN-2023-030</w:t>
      </w:r>
    </w:p>
    <w:p>
      <w:pPr>
        <w:spacing w:line="480" w:lineRule="auto"/>
        <w:ind w:firstLine="1983" w:firstLineChars="551"/>
        <w:rPr>
          <w:rFonts w:ascii="黑体" w:eastAsia="黑体"/>
          <w:bCs/>
          <w:sz w:val="36"/>
          <w:szCs w:val="36"/>
          <w:highlight w:val="none"/>
        </w:rPr>
      </w:pPr>
    </w:p>
    <w:p>
      <w:pPr>
        <w:spacing w:line="480" w:lineRule="auto"/>
        <w:ind w:firstLine="1983" w:firstLineChars="551"/>
        <w:rPr>
          <w:rFonts w:ascii="黑体" w:eastAsia="黑体"/>
          <w:bCs/>
          <w:sz w:val="36"/>
          <w:szCs w:val="36"/>
          <w:highlight w:val="none"/>
        </w:rPr>
      </w:pPr>
    </w:p>
    <w:p>
      <w:pPr>
        <w:spacing w:line="480" w:lineRule="auto"/>
        <w:ind w:firstLine="1983" w:firstLineChars="551"/>
        <w:rPr>
          <w:rFonts w:ascii="黑体" w:eastAsia="黑体"/>
          <w:bCs/>
          <w:sz w:val="36"/>
          <w:szCs w:val="36"/>
          <w:highlight w:val="none"/>
        </w:rPr>
      </w:pPr>
    </w:p>
    <w:p>
      <w:pPr>
        <w:spacing w:line="480" w:lineRule="auto"/>
        <w:ind w:firstLine="1983" w:firstLineChars="551"/>
        <w:rPr>
          <w:rFonts w:ascii="黑体" w:eastAsia="黑体"/>
          <w:bCs/>
          <w:sz w:val="36"/>
          <w:szCs w:val="36"/>
          <w:highlight w:val="none"/>
        </w:rPr>
      </w:pPr>
    </w:p>
    <w:p>
      <w:pPr>
        <w:spacing w:line="480" w:lineRule="auto"/>
        <w:ind w:firstLine="1983" w:firstLineChars="551"/>
        <w:rPr>
          <w:rFonts w:ascii="黑体" w:eastAsia="黑体"/>
          <w:bCs/>
          <w:sz w:val="36"/>
          <w:szCs w:val="36"/>
          <w:highlight w:val="none"/>
        </w:rPr>
      </w:pPr>
    </w:p>
    <w:p>
      <w:pPr>
        <w:spacing w:line="480" w:lineRule="auto"/>
        <w:ind w:firstLine="1983" w:firstLineChars="551"/>
        <w:rPr>
          <w:rFonts w:ascii="黑体" w:eastAsia="黑体"/>
          <w:bCs/>
          <w:sz w:val="36"/>
          <w:szCs w:val="36"/>
          <w:highlight w:val="none"/>
        </w:rPr>
      </w:pPr>
    </w:p>
    <w:p>
      <w:pPr>
        <w:spacing w:line="480" w:lineRule="auto"/>
        <w:ind w:firstLine="1983" w:firstLineChars="551"/>
        <w:rPr>
          <w:rFonts w:ascii="黑体" w:eastAsia="黑体"/>
          <w:bCs/>
          <w:sz w:val="36"/>
          <w:szCs w:val="36"/>
          <w:highlight w:val="none"/>
        </w:rPr>
      </w:pPr>
    </w:p>
    <w:p>
      <w:pPr>
        <w:spacing w:line="480" w:lineRule="auto"/>
        <w:jc w:val="left"/>
        <w:rPr>
          <w:rFonts w:ascii="黑体" w:eastAsia="黑体"/>
          <w:sz w:val="32"/>
          <w:szCs w:val="32"/>
          <w:highlight w:val="none"/>
          <w:u w:val="single"/>
        </w:rPr>
      </w:pPr>
      <w:r>
        <w:rPr>
          <w:rFonts w:hint="eastAsia" w:ascii="黑体" w:eastAsia="黑体"/>
          <w:bCs/>
          <w:sz w:val="32"/>
          <w:szCs w:val="36"/>
          <w:highlight w:val="none"/>
        </w:rPr>
        <w:t>招标人：</w:t>
      </w:r>
      <w:r>
        <w:rPr>
          <w:rFonts w:hint="eastAsia" w:ascii="黑体" w:eastAsia="黑体"/>
          <w:bCs/>
          <w:sz w:val="32"/>
          <w:szCs w:val="36"/>
          <w:highlight w:val="none"/>
          <w:u w:val="single"/>
        </w:rPr>
        <w:t>湖南省新新张官高速公路建设开发有限公司新宁分公司</w:t>
      </w:r>
    </w:p>
    <w:p>
      <w:pPr>
        <w:spacing w:line="480" w:lineRule="auto"/>
        <w:ind w:firstLine="755" w:firstLineChars="236"/>
        <w:jc w:val="left"/>
        <w:rPr>
          <w:rFonts w:ascii="黑体" w:eastAsia="黑体"/>
          <w:bCs/>
          <w:sz w:val="32"/>
          <w:szCs w:val="36"/>
          <w:highlight w:val="none"/>
        </w:rPr>
      </w:pPr>
      <w:r>
        <w:rPr>
          <w:rFonts w:hint="eastAsia" w:ascii="黑体" w:eastAsia="黑体"/>
          <w:bCs/>
          <w:sz w:val="32"/>
          <w:szCs w:val="36"/>
          <w:highlight w:val="none"/>
        </w:rPr>
        <w:t>招标代理机构：</w:t>
      </w:r>
      <w:r>
        <w:rPr>
          <w:rFonts w:hint="eastAsia" w:ascii="黑体" w:eastAsia="黑体"/>
          <w:sz w:val="32"/>
          <w:szCs w:val="32"/>
          <w:highlight w:val="none"/>
          <w:u w:val="single"/>
        </w:rPr>
        <w:t>北京江河润泽工程管理咨询有限公司</w:t>
      </w:r>
    </w:p>
    <w:p>
      <w:pPr>
        <w:spacing w:line="480" w:lineRule="auto"/>
        <w:jc w:val="center"/>
        <w:rPr>
          <w:rFonts w:ascii="宋体" w:hAnsi="宋体" w:cs="宋体"/>
          <w:bCs/>
          <w:sz w:val="36"/>
          <w:szCs w:val="36"/>
          <w:highlight w:val="none"/>
        </w:rPr>
        <w:sectPr>
          <w:headerReference r:id="rId4" w:type="default"/>
          <w:headerReference r:id="rId5" w:type="even"/>
          <w:pgSz w:w="11906" w:h="16838"/>
          <w:pgMar w:top="1418" w:right="1134" w:bottom="1418" w:left="1134" w:header="1077" w:footer="1304" w:gutter="567"/>
          <w:pgBorders>
            <w:top w:val="none" w:sz="0" w:space="0"/>
            <w:left w:val="none" w:sz="0" w:space="0"/>
            <w:bottom w:val="none" w:sz="0" w:space="0"/>
            <w:right w:val="none" w:sz="0" w:space="0"/>
          </w:pgBorders>
          <w:pgNumType w:start="1"/>
          <w:cols w:space="708" w:num="1"/>
          <w:docGrid w:type="lines" w:linePitch="312" w:charSpace="0"/>
        </w:sectPr>
      </w:pPr>
      <w:r>
        <w:rPr>
          <w:rFonts w:hint="eastAsia" w:ascii="宋体" w:hAnsi="宋体" w:cs="宋体"/>
          <w:bCs/>
          <w:sz w:val="32"/>
          <w:szCs w:val="36"/>
          <w:highlight w:val="none"/>
        </w:rPr>
        <w:t>2023年</w:t>
      </w:r>
      <w:r>
        <w:rPr>
          <w:rFonts w:ascii="宋体" w:hAnsi="宋体" w:cs="宋体"/>
          <w:bCs/>
          <w:sz w:val="32"/>
          <w:szCs w:val="36"/>
          <w:highlight w:val="none"/>
        </w:rPr>
        <w:t>5</w:t>
      </w:r>
      <w:r>
        <w:rPr>
          <w:rFonts w:hint="eastAsia" w:ascii="宋体" w:hAnsi="宋体" w:cs="宋体"/>
          <w:bCs/>
          <w:sz w:val="32"/>
          <w:szCs w:val="36"/>
          <w:highlight w:val="none"/>
        </w:rPr>
        <w:t>月</w:t>
      </w:r>
    </w:p>
    <w:p>
      <w:pPr>
        <w:rPr>
          <w:position w:val="0"/>
          <w:sz w:val="24"/>
          <w:szCs w:val="24"/>
          <w:highlight w:val="none"/>
        </w:rPr>
      </w:pPr>
    </w:p>
    <w:p>
      <w:pPr>
        <w:jc w:val="center"/>
        <w:rPr>
          <w:rFonts w:ascii="宋体" w:hAnsi="宋体" w:cs="宋体"/>
          <w:position w:val="0"/>
          <w:sz w:val="24"/>
          <w:szCs w:val="24"/>
          <w:highlight w:val="none"/>
        </w:rPr>
      </w:pPr>
      <w:r>
        <w:rPr>
          <w:rFonts w:hint="eastAsia" w:ascii="宋体" w:hAnsi="宋体" w:cs="宋体"/>
          <w:position w:val="0"/>
          <w:sz w:val="32"/>
          <w:szCs w:val="32"/>
          <w:highlight w:val="none"/>
        </w:rPr>
        <w:t>使用说明</w:t>
      </w:r>
    </w:p>
    <w:p>
      <w:pPr>
        <w:numPr>
          <w:ilvl w:val="0"/>
          <w:numId w:val="1"/>
        </w:num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 xml:space="preserve">为加强湖南省公路工程咨询服务招标管理，规范招标文件编制工作，根据《中华人民共和国招标投标法》《中华人民共和国招标投标法实施条例》、交通运输部《公路工程建设项目招标投标管理办法》（交通运输部令2015年第24号）及湖南省交通运输厅《关于进一步加强公路工程建设项目招标投标管理工作的通知》（湘交基建〔2019〕10号）等有关规定，结合湖南省公路建设项目特点，湖南省交通运输厅组织相关单位及专家，编制了《湖南省公路工程标准服务招标文件（2019年版）》。 </w:t>
      </w:r>
    </w:p>
    <w:p>
      <w:pPr>
        <w:numPr>
          <w:ilvl w:val="0"/>
          <w:numId w:val="1"/>
        </w:num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《湖南省公路工程标准服务招标文件（2019 年版）》适用于湖南省境内各等级公路和桥梁、隧道建设项目。包括但不限于“可行性研究报告编制”“环境影响评价报告书编制”“洪水影响评价报告书编制”“设计评审服务”“水土保持方案报告书编制”“勘察设计监理咨询”“前期工作技术指导意见”“课题及规划”“造价咨询”“隧道、桥梁试验检测（超前地质预报、监控量测、桩基检测、荷载试验等）”“特殊边坡监控、竣（交）工试验检测”等服务类项目。</w:t>
      </w:r>
    </w:p>
    <w:p>
      <w:pPr>
        <w:numPr>
          <w:ilvl w:val="0"/>
          <w:numId w:val="1"/>
        </w:num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 xml:space="preserve">招标人根据《湖南省公路工程标准服务招标文件（2019 年版）》编制项目招标文件时，不得修改“投标人须知”正文和“评标办法”正文，但可在前附表中对“投标人须知”和“评标办法”进行补充、细化，补充和细化的内容不得与“投标人须知”和“评标办法”正文内容相抵触。 </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四、根据湖南省交通运输厅《关于进一步加强公路工程建设项目招标投标管理工作的通知》（湘交基建〔2019〕10号）补充的湖南省公路项目招投标有关规定的文字内容用黑体表示，招标人应当遵照执行。招标人在根据《湖南省公路工程标准服务招标文件（2019 年版）》编制项目招标文件中的“项目专用合同条款”时，可根据招标项目的具体特点和实际需要，对“通用合同条款”进行补充、细化，除“通用合同条款”明确“专用合同条款”可作出不同约定外，补充和细化的内容不得与“通用合同条款”强制性规定相抵触。同时，补充、细化或约定的内容，不得违反法律、行政法规的强制性规定和平等、自愿、公平和诚实信用原则。</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 xml:space="preserve">五、《湖南省公路工程标准服务招标文件（2019 年版）》用相同序号标示的章、节、条、款、项、目，供招标人选择使用；以空格标示的部分，招标人应根据招标项目具体特点和实际需要进行填写，确实没有需要填写的，在空格中用“/”标示。 </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 xml:space="preserve">六、招标人按照《湖南省公路工程标准服务招标文件（2019 年版）》第一章的格式发布招标公告或发出投标邀请书后，将实际发布的招标公告或实际发出的投标邀请书编入出售的招标文件中，作为招标文件的组成部分。其中，招标公告应同时注明发布的所有媒介名称。 </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七、《湖南省公路工程标准咨询服务招标文件（2019年版）》第三章“评标办法”规定采用综合评估法和经评审的最低投标价法。其中，综合评估法适用于无资质准入要求或有特殊要求的服务项目。经评审的最低投标价法原则适用于有资质准入要求，服务内容和服务标准明确的服务项目。</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招标人选择适用综合评估法的，在满足第三章“评标办法”相关注释的前提下，各评审因素的评审标准和分值等由招标人根据项目特点和需要合理确定。国家及湖南省有关单位对各评审因素的评审标准、分值和权重等有规定的，从其规定。</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第三章“评标办法”前附表应列明全部评审因素和评审标准，并在本章（前附表及正文）标明投标人不满足要求即导致否决其投标的全部条款。</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八、第五章“委托人要求”由招标人根据《湖南省公路工程标准咨询服务招标文件（2019年版）》、招标项目具体特点和实际需要编制，并与“投标人须知”“通用合同条款”“专用合同条款”相衔接。</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九、采用电子招标投标的，招标人应按照国家有关规定和《湖南省公路工程标准咨询服务招标文件（2019年电子化版）》，结合项目具体情况和交易平台操作特点，在招标文件中载明相应要求。</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十、各使用单位或个人如有对《湖南省公路工程标准咨询服务招标文件（2019年版）》的修改意见和建议，请及时反馈湖南省交通运输厅。</w:t>
      </w:r>
    </w:p>
    <w:p>
      <w:pPr>
        <w:spacing w:line="360" w:lineRule="auto"/>
        <w:ind w:firstLine="480" w:firstLineChars="200"/>
        <w:jc w:val="left"/>
        <w:rPr>
          <w:rFonts w:ascii="宋体" w:hAnsi="宋体" w:cs="宋体"/>
          <w:position w:val="0"/>
          <w:sz w:val="24"/>
          <w:szCs w:val="24"/>
          <w:highlight w:val="none"/>
        </w:rPr>
      </w:pPr>
      <w:r>
        <w:rPr>
          <w:rFonts w:hint="eastAsia" w:ascii="宋体" w:hAnsi="宋体" w:cs="宋体"/>
          <w:position w:val="0"/>
          <w:sz w:val="24"/>
          <w:szCs w:val="24"/>
          <w:highlight w:val="none"/>
        </w:rPr>
        <w:t xml:space="preserve">联系电话：0731-88770091  </w:t>
      </w:r>
    </w:p>
    <w:p>
      <w:pPr>
        <w:ind w:firstLine="480" w:firstLineChars="200"/>
        <w:rPr>
          <w:rFonts w:ascii="宋体" w:hAnsi="宋体" w:cs="宋体"/>
          <w:position w:val="0"/>
          <w:sz w:val="24"/>
          <w:szCs w:val="24"/>
          <w:highlight w:val="none"/>
        </w:rPr>
      </w:pPr>
      <w:r>
        <w:rPr>
          <w:rFonts w:hint="eastAsia" w:ascii="宋体" w:hAnsi="宋体" w:cs="宋体"/>
          <w:position w:val="0"/>
          <w:sz w:val="24"/>
          <w:szCs w:val="24"/>
          <w:highlight w:val="none"/>
        </w:rPr>
        <w:br w:type="page"/>
      </w:r>
    </w:p>
    <w:p>
      <w:pPr>
        <w:jc w:val="center"/>
        <w:rPr>
          <w:rFonts w:eastAsia="方正姚体"/>
          <w:b/>
          <w:bCs/>
          <w:position w:val="0"/>
          <w:sz w:val="28"/>
          <w:szCs w:val="28"/>
          <w:highlight w:val="none"/>
        </w:rPr>
      </w:pPr>
      <w:r>
        <w:rPr>
          <w:rFonts w:hint="eastAsia" w:eastAsia="方正姚体"/>
          <w:b/>
          <w:bCs/>
          <w:position w:val="0"/>
          <w:sz w:val="28"/>
          <w:szCs w:val="28"/>
          <w:highlight w:val="none"/>
        </w:rPr>
        <w:t>目   录</w:t>
      </w:r>
    </w:p>
    <w:p>
      <w:pPr>
        <w:pStyle w:val="24"/>
        <w:tabs>
          <w:tab w:val="right" w:leader="dot" w:pos="9071"/>
        </w:tabs>
        <w:rPr>
          <w:rFonts w:ascii="宋体" w:hAnsi="宋体" w:cs="宋体"/>
          <w:sz w:val="28"/>
          <w:szCs w:val="28"/>
          <w:highlight w:val="none"/>
        </w:rPr>
      </w:pPr>
      <w:r>
        <w:rPr>
          <w:rFonts w:ascii="宋体" w:hAnsi="宋体"/>
          <w:b w:val="0"/>
          <w:position w:val="0"/>
          <w:sz w:val="21"/>
          <w:szCs w:val="21"/>
          <w:highlight w:val="none"/>
        </w:rPr>
        <w:fldChar w:fldCharType="begin"/>
      </w:r>
      <w:r>
        <w:rPr>
          <w:rFonts w:ascii="宋体" w:hAnsi="宋体"/>
          <w:b w:val="0"/>
          <w:position w:val="0"/>
          <w:sz w:val="21"/>
          <w:szCs w:val="21"/>
          <w:highlight w:val="none"/>
        </w:rPr>
        <w:instrText xml:space="preserve"> TOC \o "1-3" \h \z \u </w:instrText>
      </w:r>
      <w:r>
        <w:rPr>
          <w:rFonts w:ascii="宋体" w:hAnsi="宋体"/>
          <w:b w:val="0"/>
          <w:position w:val="0"/>
          <w:sz w:val="21"/>
          <w:szCs w:val="21"/>
          <w:highlight w:val="none"/>
        </w:rPr>
        <w:fldChar w:fldCharType="separate"/>
      </w:r>
      <w:r>
        <w:rPr>
          <w:highlight w:val="none"/>
        </w:rPr>
        <w:fldChar w:fldCharType="begin"/>
      </w:r>
      <w:r>
        <w:rPr>
          <w:highlight w:val="none"/>
        </w:rPr>
        <w:instrText xml:space="preserve"> HYPERLINK \l "_Toc11858" </w:instrText>
      </w:r>
      <w:r>
        <w:rPr>
          <w:highlight w:val="none"/>
        </w:rPr>
        <w:fldChar w:fldCharType="separate"/>
      </w:r>
      <w:r>
        <w:rPr>
          <w:rFonts w:hint="eastAsia" w:ascii="宋体" w:hAnsi="宋体" w:cs="宋体"/>
          <w:kern w:val="44"/>
          <w:position w:val="0"/>
          <w:sz w:val="28"/>
          <w:szCs w:val="28"/>
          <w:highlight w:val="none"/>
        </w:rPr>
        <w:t>第一章  招标公告</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_Toc11858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4</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24"/>
        <w:tabs>
          <w:tab w:val="right" w:leader="dot" w:pos="9071"/>
        </w:tabs>
        <w:rPr>
          <w:rFonts w:ascii="宋体" w:hAnsi="宋体" w:cs="宋体"/>
          <w:sz w:val="28"/>
          <w:szCs w:val="28"/>
          <w:highlight w:val="none"/>
        </w:rPr>
      </w:pPr>
      <w:r>
        <w:rPr>
          <w:highlight w:val="none"/>
        </w:rPr>
        <w:fldChar w:fldCharType="begin"/>
      </w:r>
      <w:r>
        <w:rPr>
          <w:highlight w:val="none"/>
        </w:rPr>
        <w:instrText xml:space="preserve"> HYPERLINK \l "_Toc4750" </w:instrText>
      </w:r>
      <w:r>
        <w:rPr>
          <w:highlight w:val="none"/>
        </w:rPr>
        <w:fldChar w:fldCharType="separate"/>
      </w:r>
      <w:r>
        <w:rPr>
          <w:rFonts w:hint="eastAsia" w:ascii="宋体" w:hAnsi="宋体" w:cs="宋体"/>
          <w:kern w:val="44"/>
          <w:position w:val="0"/>
          <w:sz w:val="28"/>
          <w:szCs w:val="28"/>
          <w:highlight w:val="none"/>
        </w:rPr>
        <w:t>第二章  投标人须知</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_Toc4750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10</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15"/>
        <w:tabs>
          <w:tab w:val="right" w:leader="dot" w:pos="9071"/>
        </w:tabs>
        <w:rPr>
          <w:rFonts w:ascii="宋体" w:hAnsi="宋体" w:cs="宋体"/>
          <w:b/>
          <w:bCs/>
          <w:i w:val="0"/>
          <w:iCs w:val="0"/>
          <w:caps/>
          <w:kern w:val="44"/>
          <w:position w:val="0"/>
          <w:sz w:val="28"/>
          <w:szCs w:val="28"/>
          <w:highlight w:val="none"/>
        </w:rPr>
      </w:pPr>
      <w:r>
        <w:rPr>
          <w:highlight w:val="none"/>
        </w:rPr>
        <w:fldChar w:fldCharType="begin"/>
      </w:r>
      <w:r>
        <w:rPr>
          <w:highlight w:val="none"/>
        </w:rPr>
        <w:instrText xml:space="preserve"> HYPERLINK \l "_Toc4448" </w:instrText>
      </w:r>
      <w:r>
        <w:rPr>
          <w:highlight w:val="none"/>
        </w:rPr>
        <w:fldChar w:fldCharType="separate"/>
      </w:r>
      <w:r>
        <w:rPr>
          <w:rFonts w:hint="eastAsia" w:ascii="宋体" w:hAnsi="宋体" w:cs="宋体"/>
          <w:b/>
          <w:bCs/>
          <w:i w:val="0"/>
          <w:iCs w:val="0"/>
          <w:caps/>
          <w:kern w:val="44"/>
          <w:position w:val="0"/>
          <w:sz w:val="28"/>
          <w:szCs w:val="28"/>
          <w:highlight w:val="none"/>
        </w:rPr>
        <w:t>投标人须知前附表</w:t>
      </w:r>
      <w:r>
        <w:rPr>
          <w:rFonts w:hint="eastAsia" w:ascii="宋体" w:hAnsi="宋体" w:cs="宋体"/>
          <w:b/>
          <w:bCs/>
          <w:i w:val="0"/>
          <w:iCs w:val="0"/>
          <w:caps/>
          <w:kern w:val="44"/>
          <w:position w:val="0"/>
          <w:sz w:val="28"/>
          <w:szCs w:val="28"/>
          <w:highlight w:val="none"/>
        </w:rPr>
        <w:tab/>
      </w:r>
      <w:r>
        <w:rPr>
          <w:rFonts w:hint="eastAsia" w:ascii="宋体" w:hAnsi="宋体" w:cs="宋体"/>
          <w:b/>
          <w:bCs/>
          <w:i w:val="0"/>
          <w:iCs w:val="0"/>
          <w:caps/>
          <w:kern w:val="44"/>
          <w:position w:val="0"/>
          <w:sz w:val="28"/>
          <w:szCs w:val="28"/>
          <w:highlight w:val="none"/>
        </w:rPr>
        <w:fldChar w:fldCharType="begin"/>
      </w:r>
      <w:r>
        <w:rPr>
          <w:rFonts w:hint="eastAsia" w:ascii="宋体" w:hAnsi="宋体" w:cs="宋体"/>
          <w:b/>
          <w:bCs/>
          <w:i w:val="0"/>
          <w:iCs w:val="0"/>
          <w:caps/>
          <w:kern w:val="44"/>
          <w:position w:val="0"/>
          <w:sz w:val="28"/>
          <w:szCs w:val="28"/>
          <w:highlight w:val="none"/>
        </w:rPr>
        <w:instrText xml:space="preserve"> PAGEREF _Toc4448 \h </w:instrText>
      </w:r>
      <w:r>
        <w:rPr>
          <w:rFonts w:hint="eastAsia" w:ascii="宋体" w:hAnsi="宋体" w:cs="宋体"/>
          <w:b/>
          <w:bCs/>
          <w:i w:val="0"/>
          <w:iCs w:val="0"/>
          <w:caps/>
          <w:kern w:val="44"/>
          <w:position w:val="0"/>
          <w:sz w:val="28"/>
          <w:szCs w:val="28"/>
          <w:highlight w:val="none"/>
        </w:rPr>
        <w:fldChar w:fldCharType="separate"/>
      </w:r>
      <w:r>
        <w:rPr>
          <w:rFonts w:hint="eastAsia" w:ascii="宋体" w:hAnsi="宋体" w:cs="宋体"/>
          <w:b/>
          <w:bCs/>
          <w:i w:val="0"/>
          <w:iCs w:val="0"/>
          <w:caps/>
          <w:kern w:val="44"/>
          <w:position w:val="0"/>
          <w:sz w:val="28"/>
          <w:szCs w:val="28"/>
          <w:highlight w:val="none"/>
        </w:rPr>
        <w:t>10</w:t>
      </w:r>
      <w:r>
        <w:rPr>
          <w:rFonts w:hint="eastAsia" w:ascii="宋体" w:hAnsi="宋体" w:cs="宋体"/>
          <w:b/>
          <w:bCs/>
          <w:i w:val="0"/>
          <w:iCs w:val="0"/>
          <w:caps/>
          <w:kern w:val="44"/>
          <w:position w:val="0"/>
          <w:sz w:val="28"/>
          <w:szCs w:val="28"/>
          <w:highlight w:val="none"/>
        </w:rPr>
        <w:fldChar w:fldCharType="end"/>
      </w:r>
      <w:r>
        <w:rPr>
          <w:rFonts w:hint="eastAsia" w:ascii="宋体" w:hAnsi="宋体" w:cs="宋体"/>
          <w:b/>
          <w:bCs/>
          <w:i w:val="0"/>
          <w:iCs w:val="0"/>
          <w:caps/>
          <w:kern w:val="44"/>
          <w:position w:val="0"/>
          <w:sz w:val="28"/>
          <w:szCs w:val="28"/>
          <w:highlight w:val="none"/>
        </w:rPr>
        <w:fldChar w:fldCharType="end"/>
      </w:r>
    </w:p>
    <w:p>
      <w:pPr>
        <w:pStyle w:val="24"/>
        <w:tabs>
          <w:tab w:val="right" w:leader="dot" w:pos="9071"/>
        </w:tabs>
        <w:rPr>
          <w:rFonts w:ascii="宋体" w:hAnsi="宋体" w:cs="宋体"/>
          <w:sz w:val="28"/>
          <w:szCs w:val="28"/>
          <w:highlight w:val="none"/>
        </w:rPr>
      </w:pPr>
      <w:r>
        <w:rPr>
          <w:highlight w:val="none"/>
        </w:rPr>
        <w:fldChar w:fldCharType="begin"/>
      </w:r>
      <w:r>
        <w:rPr>
          <w:highlight w:val="none"/>
        </w:rPr>
        <w:instrText xml:space="preserve"> HYPERLINK \l "_Toc12868" </w:instrText>
      </w:r>
      <w:r>
        <w:rPr>
          <w:highlight w:val="none"/>
        </w:rPr>
        <w:fldChar w:fldCharType="separate"/>
      </w:r>
      <w:r>
        <w:rPr>
          <w:rFonts w:hint="eastAsia" w:ascii="宋体" w:hAnsi="宋体" w:cs="宋体"/>
          <w:kern w:val="44"/>
          <w:position w:val="0"/>
          <w:sz w:val="28"/>
          <w:szCs w:val="28"/>
          <w:highlight w:val="none"/>
        </w:rPr>
        <w:t>第三章  评标办法（综合评</w:t>
      </w:r>
      <w:r>
        <w:rPr>
          <w:rFonts w:hint="eastAsia" w:ascii="宋体" w:hAnsi="宋体" w:cs="宋体"/>
          <w:kern w:val="44"/>
          <w:position w:val="0"/>
          <w:sz w:val="28"/>
          <w:szCs w:val="28"/>
          <w:highlight w:val="none"/>
          <w:lang w:val="en-US" w:eastAsia="zh-CN"/>
        </w:rPr>
        <w:t>估</w:t>
      </w:r>
      <w:r>
        <w:rPr>
          <w:rFonts w:hint="eastAsia" w:ascii="宋体" w:hAnsi="宋体" w:cs="宋体"/>
          <w:kern w:val="44"/>
          <w:position w:val="0"/>
          <w:sz w:val="28"/>
          <w:szCs w:val="28"/>
          <w:highlight w:val="none"/>
        </w:rPr>
        <w:t>法）</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_Toc12868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48</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24"/>
        <w:tabs>
          <w:tab w:val="right" w:leader="dot" w:pos="9071"/>
        </w:tabs>
        <w:rPr>
          <w:rFonts w:ascii="宋体" w:hAnsi="宋体" w:cs="宋体"/>
          <w:sz w:val="28"/>
          <w:szCs w:val="28"/>
          <w:highlight w:val="none"/>
        </w:rPr>
      </w:pPr>
      <w:r>
        <w:rPr>
          <w:highlight w:val="none"/>
        </w:rPr>
        <w:fldChar w:fldCharType="begin"/>
      </w:r>
      <w:r>
        <w:rPr>
          <w:highlight w:val="none"/>
        </w:rPr>
        <w:instrText xml:space="preserve"> HYPERLINK \l "_Toc22458" </w:instrText>
      </w:r>
      <w:r>
        <w:rPr>
          <w:highlight w:val="none"/>
        </w:rPr>
        <w:fldChar w:fldCharType="separate"/>
      </w:r>
      <w:r>
        <w:rPr>
          <w:rFonts w:hint="eastAsia" w:ascii="宋体" w:hAnsi="宋体" w:cs="宋体"/>
          <w:kern w:val="44"/>
          <w:position w:val="0"/>
          <w:sz w:val="28"/>
          <w:szCs w:val="28"/>
          <w:highlight w:val="none"/>
        </w:rPr>
        <w:t>第四章  合同条款及格式</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_Toc22458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62</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31"/>
        <w:tabs>
          <w:tab w:val="right" w:leader="dot" w:pos="9071"/>
        </w:tabs>
        <w:rPr>
          <w:rFonts w:ascii="宋体" w:hAnsi="宋体" w:cs="宋体"/>
          <w:sz w:val="28"/>
          <w:szCs w:val="28"/>
          <w:highlight w:val="none"/>
        </w:rPr>
      </w:pPr>
      <w:r>
        <w:rPr>
          <w:highlight w:val="none"/>
        </w:rPr>
        <w:fldChar w:fldCharType="begin"/>
      </w:r>
      <w:r>
        <w:rPr>
          <w:highlight w:val="none"/>
        </w:rPr>
        <w:instrText xml:space="preserve"> HYPERLINK \l "_Toc28263" </w:instrText>
      </w:r>
      <w:r>
        <w:rPr>
          <w:highlight w:val="none"/>
        </w:rPr>
        <w:fldChar w:fldCharType="separate"/>
      </w:r>
      <w:r>
        <w:rPr>
          <w:rFonts w:hint="eastAsia" w:ascii="宋体" w:hAnsi="宋体" w:cs="宋体"/>
          <w:spacing w:val="1"/>
          <w:sz w:val="28"/>
          <w:szCs w:val="28"/>
          <w:highlight w:val="none"/>
        </w:rPr>
        <w:t>第一节 通用合同条款</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_Toc28263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63</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31"/>
        <w:tabs>
          <w:tab w:val="right" w:leader="dot" w:pos="9071"/>
        </w:tabs>
        <w:rPr>
          <w:rFonts w:ascii="宋体" w:hAnsi="宋体" w:cs="宋体"/>
          <w:sz w:val="28"/>
          <w:szCs w:val="28"/>
          <w:highlight w:val="none"/>
        </w:rPr>
      </w:pPr>
      <w:r>
        <w:rPr>
          <w:highlight w:val="none"/>
        </w:rPr>
        <w:fldChar w:fldCharType="begin"/>
      </w:r>
      <w:r>
        <w:rPr>
          <w:highlight w:val="none"/>
        </w:rPr>
        <w:instrText xml:space="preserve"> HYPERLINK \l "_Toc30441" </w:instrText>
      </w:r>
      <w:r>
        <w:rPr>
          <w:highlight w:val="none"/>
        </w:rPr>
        <w:fldChar w:fldCharType="separate"/>
      </w:r>
      <w:r>
        <w:rPr>
          <w:rFonts w:hint="eastAsia" w:ascii="宋体" w:hAnsi="宋体" w:cs="宋体"/>
          <w:spacing w:val="1"/>
          <w:sz w:val="28"/>
          <w:szCs w:val="28"/>
          <w:highlight w:val="none"/>
        </w:rPr>
        <w:t>第二节专用合同条款</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_Toc30441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84</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31"/>
        <w:tabs>
          <w:tab w:val="right" w:leader="dot" w:pos="9071"/>
        </w:tabs>
        <w:rPr>
          <w:rFonts w:ascii="宋体" w:hAnsi="宋体" w:cs="宋体"/>
          <w:sz w:val="28"/>
          <w:szCs w:val="28"/>
          <w:highlight w:val="none"/>
        </w:rPr>
      </w:pPr>
      <w:r>
        <w:rPr>
          <w:highlight w:val="none"/>
        </w:rPr>
        <w:fldChar w:fldCharType="begin"/>
      </w:r>
      <w:r>
        <w:rPr>
          <w:highlight w:val="none"/>
        </w:rPr>
        <w:instrText xml:space="preserve"> HYPERLINK \l "_Toc4788" </w:instrText>
      </w:r>
      <w:r>
        <w:rPr>
          <w:highlight w:val="none"/>
        </w:rPr>
        <w:fldChar w:fldCharType="separate"/>
      </w:r>
      <w:r>
        <w:rPr>
          <w:rFonts w:hint="eastAsia" w:ascii="宋体" w:hAnsi="宋体" w:cs="宋体"/>
          <w:sz w:val="28"/>
          <w:szCs w:val="28"/>
          <w:highlight w:val="none"/>
        </w:rPr>
        <w:t>第三节  合同附件格式</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_Toc4788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94</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24"/>
        <w:tabs>
          <w:tab w:val="right" w:leader="dot" w:pos="9071"/>
        </w:tabs>
        <w:rPr>
          <w:rFonts w:ascii="宋体" w:hAnsi="宋体" w:cs="宋体"/>
          <w:sz w:val="28"/>
          <w:szCs w:val="28"/>
          <w:highlight w:val="none"/>
        </w:rPr>
      </w:pPr>
      <w:r>
        <w:rPr>
          <w:highlight w:val="none"/>
        </w:rPr>
        <w:fldChar w:fldCharType="begin"/>
      </w:r>
      <w:r>
        <w:rPr>
          <w:highlight w:val="none"/>
        </w:rPr>
        <w:instrText xml:space="preserve"> HYPERLINK \l "_Toc3724" </w:instrText>
      </w:r>
      <w:r>
        <w:rPr>
          <w:highlight w:val="none"/>
        </w:rPr>
        <w:fldChar w:fldCharType="separate"/>
      </w:r>
      <w:r>
        <w:rPr>
          <w:rFonts w:hint="eastAsia" w:ascii="宋体" w:hAnsi="宋体" w:cs="宋体"/>
          <w:kern w:val="44"/>
          <w:position w:val="0"/>
          <w:sz w:val="28"/>
          <w:szCs w:val="28"/>
          <w:highlight w:val="none"/>
        </w:rPr>
        <w:t>第五章  委托人要求</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_Toc3724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105</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24"/>
        <w:tabs>
          <w:tab w:val="right" w:leader="dot" w:pos="9071"/>
        </w:tabs>
        <w:rPr>
          <w:rFonts w:ascii="宋体" w:hAnsi="宋体" w:cs="宋体"/>
          <w:sz w:val="28"/>
          <w:szCs w:val="28"/>
          <w:highlight w:val="none"/>
        </w:rPr>
      </w:pPr>
      <w:r>
        <w:rPr>
          <w:highlight w:val="none"/>
        </w:rPr>
        <w:fldChar w:fldCharType="begin"/>
      </w:r>
      <w:r>
        <w:rPr>
          <w:highlight w:val="none"/>
        </w:rPr>
        <w:instrText xml:space="preserve"> HYPERLINK \l "_Toc8136" </w:instrText>
      </w:r>
      <w:r>
        <w:rPr>
          <w:highlight w:val="none"/>
        </w:rPr>
        <w:fldChar w:fldCharType="separate"/>
      </w:r>
      <w:r>
        <w:rPr>
          <w:rFonts w:hint="eastAsia" w:ascii="宋体" w:hAnsi="宋体" w:cs="宋体"/>
          <w:kern w:val="44"/>
          <w:position w:val="0"/>
          <w:sz w:val="28"/>
          <w:szCs w:val="28"/>
          <w:highlight w:val="none"/>
        </w:rPr>
        <w:t>第六章  图纸和资料</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_Toc8136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112</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pStyle w:val="24"/>
        <w:tabs>
          <w:tab w:val="right" w:leader="dot" w:pos="9071"/>
        </w:tabs>
        <w:rPr>
          <w:highlight w:val="none"/>
        </w:rPr>
      </w:pPr>
      <w:r>
        <w:rPr>
          <w:highlight w:val="none"/>
        </w:rPr>
        <w:fldChar w:fldCharType="begin"/>
      </w:r>
      <w:r>
        <w:rPr>
          <w:highlight w:val="none"/>
        </w:rPr>
        <w:instrText xml:space="preserve"> HYPERLINK \l "_Toc18045" </w:instrText>
      </w:r>
      <w:r>
        <w:rPr>
          <w:highlight w:val="none"/>
        </w:rPr>
        <w:fldChar w:fldCharType="separate"/>
      </w:r>
      <w:r>
        <w:rPr>
          <w:rFonts w:hint="eastAsia" w:ascii="宋体" w:hAnsi="宋体" w:cs="宋体"/>
          <w:sz w:val="28"/>
          <w:szCs w:val="28"/>
          <w:highlight w:val="none"/>
        </w:rPr>
        <w:t>第七章  投标文件格式</w:t>
      </w:r>
      <w:r>
        <w:rPr>
          <w:rFonts w:hint="eastAsia" w:ascii="宋体" w:hAnsi="宋体" w:cs="宋体"/>
          <w:sz w:val="28"/>
          <w:szCs w:val="28"/>
          <w:highlight w:val="none"/>
        </w:rPr>
        <w:tab/>
      </w:r>
      <w:r>
        <w:rPr>
          <w:rFonts w:hint="eastAsia" w:ascii="宋体" w:hAnsi="宋体" w:cs="宋体"/>
          <w:sz w:val="28"/>
          <w:szCs w:val="28"/>
          <w:highlight w:val="none"/>
        </w:rPr>
        <w:fldChar w:fldCharType="begin"/>
      </w:r>
      <w:r>
        <w:rPr>
          <w:rFonts w:hint="eastAsia" w:ascii="宋体" w:hAnsi="宋体" w:cs="宋体"/>
          <w:sz w:val="28"/>
          <w:szCs w:val="28"/>
          <w:highlight w:val="none"/>
        </w:rPr>
        <w:instrText xml:space="preserve"> PAGEREF _Toc18045 \h </w:instrText>
      </w:r>
      <w:r>
        <w:rPr>
          <w:rFonts w:hint="eastAsia" w:ascii="宋体" w:hAnsi="宋体" w:cs="宋体"/>
          <w:sz w:val="28"/>
          <w:szCs w:val="28"/>
          <w:highlight w:val="none"/>
        </w:rPr>
        <w:fldChar w:fldCharType="separate"/>
      </w:r>
      <w:r>
        <w:rPr>
          <w:rFonts w:hint="eastAsia" w:ascii="宋体" w:hAnsi="宋体" w:cs="宋体"/>
          <w:sz w:val="28"/>
          <w:szCs w:val="28"/>
          <w:highlight w:val="none"/>
        </w:rPr>
        <w:t>113</w:t>
      </w:r>
      <w:r>
        <w:rPr>
          <w:rFonts w:hint="eastAsia" w:ascii="宋体" w:hAnsi="宋体" w:cs="宋体"/>
          <w:sz w:val="28"/>
          <w:szCs w:val="28"/>
          <w:highlight w:val="none"/>
        </w:rPr>
        <w:fldChar w:fldCharType="end"/>
      </w:r>
      <w:r>
        <w:rPr>
          <w:rFonts w:hint="eastAsia" w:ascii="宋体" w:hAnsi="宋体" w:cs="宋体"/>
          <w:sz w:val="28"/>
          <w:szCs w:val="28"/>
          <w:highlight w:val="none"/>
        </w:rPr>
        <w:fldChar w:fldCharType="end"/>
      </w:r>
    </w:p>
    <w:p>
      <w:pPr>
        <w:spacing w:line="300" w:lineRule="exact"/>
        <w:rPr>
          <w:rFonts w:ascii="宋体" w:hAnsi="宋体"/>
          <w:position w:val="0"/>
          <w:sz w:val="24"/>
          <w:szCs w:val="24"/>
          <w:highlight w:val="none"/>
        </w:rPr>
        <w:sectPr>
          <w:headerReference r:id="rId6" w:type="default"/>
          <w:footerReference r:id="rId8" w:type="default"/>
          <w:headerReference r:id="rId7" w:type="even"/>
          <w:footerReference r:id="rId9" w:type="even"/>
          <w:pgSz w:w="11906" w:h="16838"/>
          <w:pgMar w:top="1418" w:right="1134" w:bottom="1418" w:left="1134" w:header="1077" w:footer="1304" w:gutter="567"/>
          <w:pgBorders>
            <w:top w:val="none" w:sz="0" w:space="0"/>
            <w:left w:val="none" w:sz="0" w:space="0"/>
            <w:bottom w:val="none" w:sz="0" w:space="0"/>
            <w:right w:val="none" w:sz="0" w:space="0"/>
          </w:pgBorders>
          <w:pgNumType w:start="1"/>
          <w:cols w:space="708" w:num="1"/>
          <w:docGrid w:type="lines" w:linePitch="312" w:charSpace="0"/>
        </w:sectPr>
      </w:pPr>
      <w:r>
        <w:rPr>
          <w:rFonts w:ascii="宋体" w:hAnsi="宋体"/>
          <w:position w:val="0"/>
          <w:szCs w:val="21"/>
          <w:highlight w:val="none"/>
        </w:rPr>
        <w:fldChar w:fldCharType="end"/>
      </w:r>
    </w:p>
    <w:p>
      <w:pPr>
        <w:rPr>
          <w:b/>
          <w:bCs/>
          <w:position w:val="0"/>
          <w:sz w:val="30"/>
          <w:highlight w:val="none"/>
        </w:rPr>
      </w:pPr>
    </w:p>
    <w:p>
      <w:pPr>
        <w:ind w:firstLine="602" w:firstLineChars="200"/>
        <w:rPr>
          <w:b/>
          <w:bCs/>
          <w:position w:val="0"/>
          <w:sz w:val="30"/>
          <w:highlight w:val="none"/>
        </w:rPr>
      </w:pPr>
    </w:p>
    <w:p>
      <w:pPr>
        <w:ind w:firstLine="602" w:firstLineChars="200"/>
        <w:rPr>
          <w:b/>
          <w:bCs/>
          <w:position w:val="0"/>
          <w:sz w:val="30"/>
          <w:highlight w:val="none"/>
        </w:rPr>
      </w:pPr>
    </w:p>
    <w:p>
      <w:pPr>
        <w:ind w:firstLine="602" w:firstLineChars="200"/>
        <w:rPr>
          <w:b/>
          <w:bCs/>
          <w:position w:val="0"/>
          <w:sz w:val="30"/>
          <w:highlight w:val="none"/>
        </w:rPr>
      </w:pPr>
    </w:p>
    <w:p>
      <w:pPr>
        <w:ind w:firstLine="602" w:firstLineChars="200"/>
        <w:rPr>
          <w:b/>
          <w:bCs/>
          <w:position w:val="0"/>
          <w:sz w:val="30"/>
          <w:highlight w:val="none"/>
        </w:rPr>
      </w:pPr>
    </w:p>
    <w:p>
      <w:pPr>
        <w:ind w:firstLine="602" w:firstLineChars="200"/>
        <w:rPr>
          <w:b/>
          <w:bCs/>
          <w:position w:val="0"/>
          <w:sz w:val="30"/>
          <w:highlight w:val="none"/>
        </w:rPr>
      </w:pPr>
    </w:p>
    <w:p>
      <w:pPr>
        <w:ind w:firstLine="602" w:firstLineChars="200"/>
        <w:jc w:val="center"/>
        <w:rPr>
          <w:b/>
          <w:bCs/>
          <w:position w:val="0"/>
          <w:sz w:val="30"/>
          <w:highlight w:val="none"/>
        </w:rPr>
      </w:pPr>
    </w:p>
    <w:p>
      <w:pPr>
        <w:pStyle w:val="3"/>
        <w:keepLines/>
        <w:spacing w:line="360" w:lineRule="auto"/>
        <w:jc w:val="center"/>
        <w:rPr>
          <w:rFonts w:ascii="黑体" w:eastAsia="黑体"/>
          <w:b w:val="0"/>
          <w:bCs/>
          <w:kern w:val="44"/>
          <w:position w:val="0"/>
          <w:szCs w:val="32"/>
          <w:highlight w:val="none"/>
        </w:rPr>
      </w:pPr>
      <w:bookmarkStart w:id="0" w:name="_Toc241635392"/>
      <w:bookmarkStart w:id="1" w:name="_Toc11858"/>
      <w:r>
        <w:rPr>
          <w:rFonts w:hint="eastAsia" w:ascii="黑体" w:eastAsia="黑体"/>
          <w:b w:val="0"/>
          <w:bCs/>
          <w:kern w:val="44"/>
          <w:position w:val="0"/>
          <w:szCs w:val="32"/>
          <w:highlight w:val="none"/>
        </w:rPr>
        <w:t>第一章  招标公告</w:t>
      </w:r>
      <w:bookmarkEnd w:id="0"/>
      <w:bookmarkEnd w:id="1"/>
    </w:p>
    <w:p>
      <w:pPr>
        <w:pStyle w:val="16"/>
        <w:tabs>
          <w:tab w:val="left" w:pos="5865"/>
        </w:tabs>
        <w:snapToGrid w:val="0"/>
        <w:spacing w:before="120" w:beforeLines="50"/>
        <w:jc w:val="center"/>
        <w:rPr>
          <w:rFonts w:hint="eastAsia" w:eastAsia="宋体"/>
          <w:b/>
          <w:bCs/>
          <w:position w:val="0"/>
          <w:sz w:val="30"/>
          <w:highlight w:val="none"/>
          <w:lang w:eastAsia="zh-CN"/>
        </w:rPr>
      </w:pPr>
      <w:r>
        <w:rPr>
          <w:b/>
          <w:bCs/>
          <w:position w:val="0"/>
          <w:sz w:val="30"/>
          <w:highlight w:val="none"/>
        </w:rPr>
        <w:br w:type="page"/>
      </w:r>
      <w:bookmarkStart w:id="2" w:name="_Toc241635394"/>
      <w:r>
        <w:rPr>
          <w:rFonts w:hint="eastAsia"/>
          <w:b/>
          <w:bCs/>
          <w:position w:val="0"/>
          <w:sz w:val="30"/>
          <w:highlight w:val="none"/>
          <w:lang w:eastAsia="zh-CN"/>
        </w:rPr>
        <w:t>G59新新高速公路新宁分公司水土保持监测及环境监测服务</w:t>
      </w:r>
    </w:p>
    <w:p>
      <w:pPr>
        <w:pStyle w:val="16"/>
        <w:tabs>
          <w:tab w:val="left" w:pos="5865"/>
        </w:tabs>
        <w:snapToGrid w:val="0"/>
        <w:spacing w:before="120" w:beforeLines="50"/>
        <w:jc w:val="center"/>
        <w:rPr>
          <w:rFonts w:ascii="黑体" w:hAnsi="宋体" w:eastAsia="黑体"/>
          <w:bCs/>
          <w:position w:val="0"/>
          <w:sz w:val="32"/>
          <w:szCs w:val="32"/>
          <w:highlight w:val="none"/>
        </w:rPr>
      </w:pPr>
      <w:r>
        <w:rPr>
          <w:rFonts w:hint="eastAsia" w:ascii="黑体" w:hAnsi="宋体" w:eastAsia="黑体"/>
          <w:bCs/>
          <w:position w:val="0"/>
          <w:sz w:val="32"/>
          <w:szCs w:val="32"/>
          <w:highlight w:val="none"/>
        </w:rPr>
        <w:t>招标公告</w:t>
      </w:r>
      <w:bookmarkEnd w:id="2"/>
    </w:p>
    <w:p>
      <w:pPr>
        <w:spacing w:before="87" w:line="226" w:lineRule="auto"/>
        <w:ind w:left="27"/>
        <w:rPr>
          <w:rFonts w:ascii="黑体" w:hAnsi="黑体" w:eastAsia="黑体" w:cs="黑体"/>
          <w:sz w:val="27"/>
          <w:szCs w:val="27"/>
          <w:highlight w:val="none"/>
        </w:rPr>
      </w:pPr>
      <w:bookmarkStart w:id="3" w:name="_Toc15033"/>
      <w:bookmarkStart w:id="4" w:name="_Toc32191"/>
      <w:bookmarkStart w:id="5" w:name="_Toc478124106"/>
      <w:bookmarkStart w:id="6" w:name="_Toc477904437"/>
      <w:r>
        <w:rPr>
          <w:rFonts w:eastAsia="Times New Roman"/>
          <w:b/>
          <w:bCs/>
          <w:spacing w:val="8"/>
          <w:sz w:val="27"/>
          <w:szCs w:val="27"/>
          <w:highlight w:val="none"/>
        </w:rPr>
        <w:t>1</w:t>
      </w:r>
      <w:r>
        <w:rPr>
          <w:rFonts w:eastAsia="Times New Roman"/>
          <w:b/>
          <w:bCs/>
          <w:spacing w:val="5"/>
          <w:sz w:val="27"/>
          <w:szCs w:val="27"/>
          <w:highlight w:val="none"/>
        </w:rPr>
        <w:t>.</w:t>
      </w:r>
      <w:r>
        <w:rPr>
          <w:rFonts w:ascii="黑体" w:hAnsi="黑体" w:eastAsia="黑体" w:cs="黑体"/>
          <w:spacing w:val="4"/>
          <w:sz w:val="27"/>
          <w:szCs w:val="27"/>
          <w:highlight w:val="none"/>
        </w:rPr>
        <w:t>招标条件</w:t>
      </w:r>
      <w:bookmarkEnd w:id="3"/>
      <w:bookmarkEnd w:id="4"/>
    </w:p>
    <w:p>
      <w:pPr>
        <w:spacing w:before="240" w:line="10" w:lineRule="exact"/>
        <w:ind w:left="2424"/>
        <w:rPr>
          <w:highlight w:val="none"/>
        </w:rPr>
      </w:pPr>
      <w:r>
        <w:rPr>
          <w:highlight w:val="none"/>
        </w:rPr>
        <w:drawing>
          <wp:inline distT="0" distB="0" distL="114300" distR="114300">
            <wp:extent cx="3622040" cy="5715"/>
            <wp:effectExtent l="0" t="0" r="0" b="0"/>
            <wp:docPr id="370" name="图片 1"/>
            <wp:cNvGraphicFramePr/>
            <a:graphic xmlns:a="http://schemas.openxmlformats.org/drawingml/2006/main">
              <a:graphicData uri="http://schemas.openxmlformats.org/drawingml/2006/picture">
                <pic:pic xmlns:pic="http://schemas.openxmlformats.org/drawingml/2006/picture">
                  <pic:nvPicPr>
                    <pic:cNvPr id="370" name="图片 1"/>
                    <pic:cNvPicPr/>
                  </pic:nvPicPr>
                  <pic:blipFill>
                    <a:blip r:embed="rId24"/>
                    <a:stretch>
                      <a:fillRect/>
                    </a:stretch>
                  </pic:blipFill>
                  <pic:spPr>
                    <a:xfrm>
                      <a:off x="0" y="0"/>
                      <a:ext cx="3622040" cy="5715"/>
                    </a:xfrm>
                    <a:prstGeom prst="rect">
                      <a:avLst/>
                    </a:prstGeom>
                    <a:noFill/>
                    <a:ln>
                      <a:noFill/>
                    </a:ln>
                  </pic:spPr>
                </pic:pic>
              </a:graphicData>
            </a:graphic>
          </wp:inline>
        </w:drawing>
      </w:r>
    </w:p>
    <w:p>
      <w:pPr>
        <w:spacing w:line="360" w:lineRule="auto"/>
        <w:ind w:firstLine="480" w:firstLineChars="200"/>
        <w:rPr>
          <w:highlight w:val="none"/>
        </w:rPr>
      </w:pPr>
      <w:r>
        <w:rPr>
          <w:rFonts w:hint="eastAsia" w:ascii="宋体" w:hAnsi="宋体" w:cs="宋体"/>
          <w:sz w:val="24"/>
          <w:szCs w:val="24"/>
          <w:highlight w:val="none"/>
        </w:rPr>
        <w:t>本招标项目 </w:t>
      </w:r>
      <w:r>
        <w:rPr>
          <w:rFonts w:hint="eastAsia" w:ascii="宋体" w:hAnsi="宋体" w:cs="宋体"/>
          <w:sz w:val="24"/>
          <w:szCs w:val="24"/>
          <w:highlight w:val="none"/>
          <w:u w:val="single"/>
        </w:rPr>
        <w:t>G59呼北高速新化至新宁段</w:t>
      </w:r>
      <w:r>
        <w:rPr>
          <w:rFonts w:hint="eastAsia" w:ascii="宋体" w:hAnsi="宋体" w:cs="宋体"/>
          <w:sz w:val="24"/>
          <w:szCs w:val="24"/>
          <w:highlight w:val="none"/>
        </w:rPr>
        <w:t>（简称“新新高速”）已由</w:t>
      </w:r>
      <w:r>
        <w:rPr>
          <w:rFonts w:hint="eastAsia" w:ascii="宋体" w:hAnsi="宋体" w:cs="宋体"/>
          <w:sz w:val="24"/>
          <w:szCs w:val="24"/>
          <w:highlight w:val="none"/>
          <w:u w:val="single"/>
        </w:rPr>
        <w:t>湖南省发展和改革委员会以湘发改基础〔2021〕79号</w:t>
      </w:r>
      <w:r>
        <w:rPr>
          <w:rFonts w:hint="eastAsia" w:ascii="宋体" w:hAnsi="宋体" w:cs="宋体"/>
          <w:sz w:val="24"/>
          <w:szCs w:val="24"/>
          <w:highlight w:val="none"/>
        </w:rPr>
        <w:t>批准建设，初步设计已由</w:t>
      </w:r>
      <w:r>
        <w:rPr>
          <w:rFonts w:hint="eastAsia" w:ascii="宋体" w:hAnsi="宋体" w:cs="宋体"/>
          <w:sz w:val="24"/>
          <w:szCs w:val="24"/>
          <w:highlight w:val="none"/>
          <w:u w:val="single"/>
        </w:rPr>
        <w:t>交公路函〔2021〕137号</w:t>
      </w:r>
      <w:r>
        <w:rPr>
          <w:rFonts w:hint="eastAsia" w:ascii="宋体" w:hAnsi="宋体" w:cs="宋体"/>
          <w:sz w:val="24"/>
          <w:szCs w:val="24"/>
          <w:highlight w:val="none"/>
        </w:rPr>
        <w:t>批准，项目业主为</w:t>
      </w:r>
      <w:r>
        <w:rPr>
          <w:rFonts w:hint="eastAsia" w:ascii="宋体" w:hAnsi="宋体" w:cs="宋体"/>
          <w:sz w:val="24"/>
          <w:szCs w:val="24"/>
          <w:highlight w:val="none"/>
          <w:u w:val="single"/>
        </w:rPr>
        <w:t>湖南省新新张官高速公路建设开发有限公司</w:t>
      </w:r>
      <w:r>
        <w:rPr>
          <w:rFonts w:hint="eastAsia" w:ascii="宋体" w:hAnsi="宋体" w:cs="宋体"/>
          <w:sz w:val="24"/>
          <w:szCs w:val="24"/>
          <w:highlight w:val="none"/>
        </w:rPr>
        <w:t>，建设资金来自</w:t>
      </w:r>
      <w:r>
        <w:rPr>
          <w:rFonts w:hint="eastAsia" w:ascii="宋体" w:hAnsi="宋体" w:cs="宋体"/>
          <w:sz w:val="24"/>
          <w:szCs w:val="24"/>
          <w:highlight w:val="none"/>
          <w:u w:val="single"/>
        </w:rPr>
        <w:t>政府补助、建设单位自筹及银行贷款</w:t>
      </w:r>
      <w:r>
        <w:rPr>
          <w:rFonts w:hint="eastAsia" w:ascii="宋体" w:hAnsi="宋体" w:cs="宋体"/>
          <w:sz w:val="24"/>
          <w:szCs w:val="24"/>
          <w:highlight w:val="none"/>
        </w:rPr>
        <w:t>，招标人为</w:t>
      </w:r>
      <w:r>
        <w:rPr>
          <w:rFonts w:hint="eastAsia" w:ascii="宋体" w:hAnsi="宋体" w:cs="宋体"/>
          <w:sz w:val="24"/>
          <w:szCs w:val="24"/>
          <w:highlight w:val="none"/>
          <w:u w:val="single"/>
        </w:rPr>
        <w:t>湖南省新新张官高速公路建设开发有限公司</w:t>
      </w:r>
      <w:r>
        <w:rPr>
          <w:rFonts w:hint="eastAsia" w:ascii="宋体" w:hAnsi="宋体" w:cs="宋体"/>
          <w:sz w:val="24"/>
          <w:szCs w:val="24"/>
          <w:highlight w:val="none"/>
        </w:rPr>
        <w:t>，本项目招标执行机构为</w:t>
      </w:r>
      <w:r>
        <w:rPr>
          <w:rFonts w:hint="eastAsia" w:ascii="宋体" w:hAnsi="宋体" w:cs="宋体"/>
          <w:sz w:val="24"/>
          <w:szCs w:val="24"/>
          <w:highlight w:val="none"/>
          <w:u w:val="single"/>
        </w:rPr>
        <w:t>湖南省新新张官高速公路建设开发有限公司新宁分公司</w:t>
      </w:r>
      <w:r>
        <w:rPr>
          <w:rFonts w:hint="eastAsia" w:ascii="宋体" w:hAnsi="宋体" w:cs="宋体"/>
          <w:sz w:val="24"/>
          <w:szCs w:val="24"/>
          <w:highlight w:val="none"/>
        </w:rPr>
        <w:t>。项目已具备招标条件，现对该项目</w:t>
      </w:r>
      <w:r>
        <w:rPr>
          <w:rFonts w:hint="eastAsia" w:ascii="宋体" w:hAnsi="宋体" w:cs="宋体"/>
          <w:sz w:val="24"/>
          <w:szCs w:val="24"/>
          <w:highlight w:val="none"/>
          <w:u w:val="single"/>
          <w:lang w:eastAsia="zh-CN"/>
        </w:rPr>
        <w:t>新宁分公司</w:t>
      </w:r>
      <w:r>
        <w:rPr>
          <w:rFonts w:hint="eastAsia" w:ascii="宋体" w:hAnsi="宋体" w:cs="宋体"/>
          <w:sz w:val="24"/>
          <w:szCs w:val="24"/>
          <w:highlight w:val="none"/>
          <w:u w:val="single"/>
        </w:rPr>
        <w:t>水土保持监测及环境监测服务</w:t>
      </w:r>
      <w:r>
        <w:rPr>
          <w:rFonts w:hint="eastAsia" w:ascii="宋体" w:hAnsi="宋体" w:cs="宋体"/>
          <w:sz w:val="24"/>
          <w:szCs w:val="24"/>
          <w:highlight w:val="none"/>
        </w:rPr>
        <w:t>进行公开招标。</w:t>
      </w:r>
    </w:p>
    <w:p>
      <w:pPr>
        <w:spacing w:before="169" w:line="238" w:lineRule="auto"/>
        <w:ind w:left="16"/>
        <w:rPr>
          <w:rFonts w:ascii="黑体" w:hAnsi="黑体" w:eastAsia="黑体" w:cs="黑体"/>
          <w:sz w:val="27"/>
          <w:szCs w:val="27"/>
          <w:highlight w:val="none"/>
        </w:rPr>
      </w:pPr>
      <w:bookmarkStart w:id="7" w:name="_Toc19040"/>
      <w:bookmarkStart w:id="8" w:name="_Toc2079"/>
      <w:r>
        <w:rPr>
          <w:rFonts w:eastAsia="Times New Roman"/>
          <w:b/>
          <w:bCs/>
          <w:spacing w:val="8"/>
          <w:sz w:val="27"/>
          <w:szCs w:val="27"/>
          <w:highlight w:val="none"/>
        </w:rPr>
        <w:t>2.</w:t>
      </w:r>
      <w:r>
        <w:rPr>
          <w:rFonts w:ascii="黑体" w:hAnsi="黑体" w:eastAsia="黑体" w:cs="黑体"/>
          <w:spacing w:val="8"/>
          <w:sz w:val="27"/>
          <w:szCs w:val="27"/>
          <w:highlight w:val="none"/>
        </w:rPr>
        <w:t>项目概况与招标范围</w:t>
      </w:r>
      <w:bookmarkEnd w:id="7"/>
      <w:bookmarkEnd w:id="8"/>
    </w:p>
    <w:p>
      <w:pPr>
        <w:spacing w:line="258" w:lineRule="auto"/>
        <w:rPr>
          <w:rFonts w:ascii="Arial"/>
          <w:highlight w:val="none"/>
        </w:rPr>
      </w:pPr>
    </w:p>
    <w:p>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2.1 建设地点：湖南省新宁县境内。</w:t>
      </w:r>
    </w:p>
    <w:p>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2.2 项目建设规模及招标范围：本项目路线起自新化县青山乡卿家屋附近，接已建成 通车的G59 线琅塘至卿家屋段，经新化县洋溪镇、水车镇，隆 回县金石桥镇、羊古坳乡、隆回县城，武冈市双牌镇，新宁县回龙寺镇、清江桥乡、新宁县城，止于新宁县城南侧的老人冲附近，接已建成通车的G59 线新宁至湘桂界段，路线全长约190.8公里。</w:t>
      </w:r>
    </w:p>
    <w:p>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全线共设置卿家屋(枢纽)、洋溪、紫鹊界南、金石桥、虎形山(花瑶)、六都寨、隆回北、屋主塘(枢纽)、邓家铺、马头桥、回龙寺(枢纽)、清江桥、新宁东、良山、老人冲(枢纽) 15处互通式立交。另建设洋溪互通连接线约23.9公里，紫鹊界南互通连接线约4.7公里，虎形山(花瑶)互通连接线约29.1 公里，隆回北互通连接线约6.9公里，邓家铺互通连接线约13.9 公里，新宁东互通连接线约1.8公里，良山互通连接线约3.6公 里，互通连接线合计长度约83.9公里。按规范和有关政策同步建设必要的交通工程和沿线设施(含交警、路政基地等)。现对该项目</w:t>
      </w:r>
      <w:bookmarkStart w:id="977" w:name="_GoBack"/>
      <w:r>
        <w:rPr>
          <w:rFonts w:hint="eastAsia" w:ascii="宋体" w:hAnsi="宋体" w:cs="宋体"/>
          <w:sz w:val="24"/>
          <w:szCs w:val="24"/>
          <w:highlight w:val="none"/>
          <w:u w:val="single"/>
          <w:lang w:eastAsia="zh-CN"/>
        </w:rPr>
        <w:t>新宁分公司</w:t>
      </w:r>
      <w:bookmarkEnd w:id="977"/>
      <w:r>
        <w:rPr>
          <w:rFonts w:hint="eastAsia" w:ascii="宋体" w:hAnsi="宋体" w:cs="宋体"/>
          <w:sz w:val="24"/>
          <w:szCs w:val="24"/>
          <w:highlight w:val="none"/>
          <w:u w:val="single"/>
        </w:rPr>
        <w:t>水土保持监测及环境监测服务</w:t>
      </w:r>
      <w:r>
        <w:rPr>
          <w:rFonts w:hint="eastAsia" w:ascii="宋体" w:hAnsi="宋体" w:cs="宋体"/>
          <w:sz w:val="24"/>
          <w:szCs w:val="24"/>
          <w:highlight w:val="none"/>
        </w:rPr>
        <w:t>进行公开招标。</w:t>
      </w:r>
    </w:p>
    <w:p>
      <w:pPr>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新新高速公路新宁段起迄桩号：K124+140-K141+206.181、K155+423.723-K192+776.600，主线全长54.617公里（包含断链197.573m）。全线桥梁总计69座（含互通匝道桥），主线桥梁全长总长17.908公里，其中特大桥2座。设有碎石场4个、混凝土搅拌站5个、沥青搅拌站2处、弃土场18处，且本项目临近夫夷水江，因此生态环境保护要求比较高。</w:t>
      </w:r>
    </w:p>
    <w:p>
      <w:pPr>
        <w:pStyle w:val="11"/>
        <w:ind w:firstLine="480" w:firstLineChars="200"/>
        <w:jc w:val="both"/>
        <w:rPr>
          <w:rFonts w:ascii="宋体" w:hAnsi="宋体" w:cs="宋体"/>
          <w:sz w:val="24"/>
          <w:szCs w:val="24"/>
          <w:highlight w:val="none"/>
        </w:rPr>
      </w:pPr>
      <w:r>
        <w:rPr>
          <w:rFonts w:hint="eastAsia" w:ascii="宋体" w:hAnsi="宋体" w:cs="宋体"/>
          <w:sz w:val="24"/>
          <w:szCs w:val="24"/>
          <w:highlight w:val="none"/>
        </w:rPr>
        <w:t xml:space="preserve">本次服务招标工程共分为2个标段。水土保持监测为1标段；环境监测服务为2标段。（1）水土保持监测：在本项目实施过程中，依据相关规程、规范和经湖南省水利厅批准的本项目水土保持方案编制监测实施方案并开展监测工作，在项目建设过程中对项目责任范围的生态环境变化、水土流失现状进行动态监测，形成监测成果定期报送建设单位和当地水行政主管部门，最终的监测专项报告作为监督检查和验收达标的依据之一。提供水土保持工作指导意见，为招标人提供必要的协助，确保水土保持工作通过专项验收。 </w:t>
      </w:r>
    </w:p>
    <w:p>
      <w:pPr>
        <w:pStyle w:val="11"/>
        <w:jc w:val="both"/>
        <w:rPr>
          <w:highlight w:val="none"/>
        </w:rPr>
      </w:pPr>
      <w:r>
        <w:rPr>
          <w:rFonts w:hint="eastAsia" w:ascii="宋体" w:hAnsi="宋体" w:cs="宋体"/>
          <w:sz w:val="24"/>
          <w:szCs w:val="24"/>
          <w:highlight w:val="none"/>
        </w:rPr>
        <w:t>（2）环境监测：在项目施工期，依照湖南省生态环境厅在对新新高速公路环境影响报告书的批复中要求，严格落实各项环境保护措施，对地表水、噪声以及环境空气影响进行现状监测及调研，提供环保工作改进措施与建议，并协助项目顺利通过环境保护验收。</w:t>
      </w:r>
    </w:p>
    <w:p>
      <w:pPr>
        <w:spacing w:line="360" w:lineRule="auto"/>
        <w:ind w:firstLine="456" w:firstLineChars="200"/>
        <w:rPr>
          <w:rFonts w:ascii="宋体" w:hAnsi="宋体" w:cs="宋体"/>
          <w:sz w:val="24"/>
          <w:szCs w:val="24"/>
          <w:highlight w:val="none"/>
        </w:rPr>
      </w:pPr>
      <w:r>
        <w:rPr>
          <w:rFonts w:hint="eastAsia" w:ascii="宋体" w:hAnsi="宋体" w:cs="宋体"/>
          <w:spacing w:val="-6"/>
          <w:sz w:val="24"/>
          <w:szCs w:val="24"/>
          <w:highlight w:val="none"/>
        </w:rPr>
        <w:t>本</w:t>
      </w:r>
      <w:r>
        <w:rPr>
          <w:rFonts w:hint="eastAsia" w:ascii="宋体" w:hAnsi="宋体" w:cs="宋体"/>
          <w:spacing w:val="-4"/>
          <w:sz w:val="24"/>
          <w:szCs w:val="24"/>
          <w:highlight w:val="none"/>
        </w:rPr>
        <w:t>次招标检测服务期限为：水土保持监测时段为5年，包括建设期4年及自然恢复期1年。环境监测时段为3年（至2</w:t>
      </w:r>
      <w:r>
        <w:rPr>
          <w:rFonts w:ascii="宋体" w:hAnsi="宋体" w:cs="宋体"/>
          <w:spacing w:val="-4"/>
          <w:sz w:val="24"/>
          <w:szCs w:val="24"/>
          <w:highlight w:val="none"/>
        </w:rPr>
        <w:t>025</w:t>
      </w:r>
      <w:r>
        <w:rPr>
          <w:rFonts w:hint="eastAsia" w:ascii="宋体" w:hAnsi="宋体" w:cs="宋体"/>
          <w:spacing w:val="-4"/>
          <w:sz w:val="24"/>
          <w:szCs w:val="24"/>
          <w:highlight w:val="none"/>
        </w:rPr>
        <w:t>年1</w:t>
      </w:r>
      <w:r>
        <w:rPr>
          <w:rFonts w:ascii="宋体" w:hAnsi="宋体" w:cs="宋体"/>
          <w:spacing w:val="-4"/>
          <w:sz w:val="24"/>
          <w:szCs w:val="24"/>
          <w:highlight w:val="none"/>
        </w:rPr>
        <w:t>2</w:t>
      </w:r>
      <w:r>
        <w:rPr>
          <w:rFonts w:hint="eastAsia" w:ascii="宋体" w:hAnsi="宋体" w:cs="宋体"/>
          <w:spacing w:val="-4"/>
          <w:sz w:val="24"/>
          <w:szCs w:val="24"/>
          <w:highlight w:val="none"/>
        </w:rPr>
        <w:t>月3</w:t>
      </w:r>
      <w:r>
        <w:rPr>
          <w:rFonts w:ascii="宋体" w:hAnsi="宋体" w:cs="宋体"/>
          <w:spacing w:val="-4"/>
          <w:sz w:val="24"/>
          <w:szCs w:val="24"/>
          <w:highlight w:val="none"/>
        </w:rPr>
        <w:t>1</w:t>
      </w:r>
      <w:r>
        <w:rPr>
          <w:rFonts w:hint="eastAsia" w:ascii="宋体" w:hAnsi="宋体" w:cs="宋体"/>
          <w:spacing w:val="-4"/>
          <w:sz w:val="24"/>
          <w:szCs w:val="24"/>
          <w:highlight w:val="none"/>
        </w:rPr>
        <w:t>日）。</w:t>
      </w:r>
    </w:p>
    <w:p>
      <w:pPr>
        <w:pStyle w:val="86"/>
        <w:spacing w:line="440" w:lineRule="exact"/>
        <w:rPr>
          <w:rFonts w:ascii="宋体" w:hAnsi="宋体" w:cs="宋体"/>
          <w:b/>
          <w:bCs/>
          <w:sz w:val="24"/>
          <w:szCs w:val="24"/>
          <w:highlight w:val="none"/>
        </w:rPr>
      </w:pPr>
      <w:r>
        <w:rPr>
          <w:rFonts w:hint="eastAsia" w:ascii="宋体" w:hAnsi="宋体" w:cs="宋体"/>
          <w:b/>
          <w:bCs/>
          <w:sz w:val="24"/>
          <w:szCs w:val="24"/>
          <w:highlight w:val="none"/>
        </w:rPr>
        <w:t>3.投标人资格要求</w:t>
      </w:r>
    </w:p>
    <w:p>
      <w:pPr>
        <w:pStyle w:val="87"/>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3.1 本次招标要求投标人符合以下条件：</w:t>
      </w:r>
    </w:p>
    <w:p>
      <w:pPr>
        <w:pStyle w:val="87"/>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（1）具备独立法人资格，</w:t>
      </w:r>
      <w:r>
        <w:rPr>
          <w:rFonts w:hint="eastAsia" w:ascii="宋体" w:hAnsi="宋体" w:cs="宋体"/>
          <w:sz w:val="24"/>
          <w:szCs w:val="24"/>
          <w:highlight w:val="none"/>
          <w:lang w:val="en-US" w:eastAsia="zh-CN"/>
        </w:rPr>
        <w:t>具有</w:t>
      </w:r>
      <w:r>
        <w:rPr>
          <w:rFonts w:hint="eastAsia" w:ascii="宋体" w:hAnsi="宋体" w:cs="宋体"/>
          <w:sz w:val="24"/>
          <w:szCs w:val="24"/>
          <w:highlight w:val="none"/>
        </w:rPr>
        <w:t>有效的营业执照（或事业单位法人证书,或社会团体法人登记证书）（投标人为企业的，还应具备组织机构代码证，按照“三证合一”或“五证合一”登记制度进行登记的，可仅提供营业执照副本；投标人为依法允许经营的事业单位的，应具有事业单位法人证书和组织机构代码证，下同）；</w:t>
      </w:r>
    </w:p>
    <w:p>
      <w:pPr>
        <w:pStyle w:val="87"/>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 xml:space="preserve">（2）2标段：具备省级及以上检验检测机构资质认定证书（证书附表批准的能力范围含环境类别）。投标人或投标人的下属机构（包括分公司、全资子公司、不具有法人资格的下设机构等）取得的检验检测机构资质认定证书，均可认定为投标人的检验检测机构资质认定证书； </w:t>
      </w:r>
    </w:p>
    <w:p>
      <w:pPr>
        <w:pStyle w:val="87"/>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（3）投标人还应在业绩、人员和信誉等其它方面满足资格审查条件要求，详见附录。</w:t>
      </w:r>
    </w:p>
    <w:p>
      <w:pPr>
        <w:pStyle w:val="88"/>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3.2</w:t>
      </w:r>
      <w:r>
        <w:rPr>
          <w:rFonts w:ascii="宋体" w:hAnsi="宋体" w:cs="宋体"/>
          <w:sz w:val="24"/>
          <w:szCs w:val="24"/>
          <w:highlight w:val="none"/>
        </w:rPr>
        <w:t xml:space="preserve"> </w:t>
      </w:r>
      <w:r>
        <w:rPr>
          <w:rFonts w:hint="eastAsia" w:ascii="宋体" w:hAnsi="宋体" w:cs="宋体"/>
          <w:sz w:val="24"/>
          <w:szCs w:val="24"/>
          <w:highlight w:val="none"/>
        </w:rPr>
        <w:t>本次招标不接受联合体投标。</w:t>
      </w:r>
    </w:p>
    <w:p>
      <w:pPr>
        <w:pStyle w:val="88"/>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3.3 每个投标人可在本次招标中对2个标段投标，每个投标人允许中1个标。</w:t>
      </w:r>
    </w:p>
    <w:p>
      <w:pPr>
        <w:pStyle w:val="89"/>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 xml:space="preserve">3.4 </w:t>
      </w:r>
      <w:r>
        <w:rPr>
          <w:rFonts w:eastAsia="黑体"/>
          <w:sz w:val="24"/>
          <w:highlight w:val="none"/>
        </w:rPr>
        <w:t>与招标人存在利害关系且可能影响招标公正性的单位，不得参加投标。</w:t>
      </w:r>
      <w:r>
        <w:rPr>
          <w:rFonts w:eastAsia="黑体"/>
          <w:kern w:val="0"/>
          <w:sz w:val="24"/>
          <w:highlight w:val="none"/>
        </w:rPr>
        <w:t>单位负责人</w:t>
      </w:r>
      <w:r>
        <w:rPr>
          <w:rFonts w:eastAsia="黑体"/>
          <w:kern w:val="0"/>
          <w:sz w:val="24"/>
          <w:highlight w:val="none"/>
          <w:vertAlign w:val="superscript"/>
        </w:rPr>
        <w:footnoteReference w:id="0"/>
      </w:r>
      <w:r>
        <w:rPr>
          <w:rFonts w:eastAsia="黑体"/>
          <w:kern w:val="0"/>
          <w:sz w:val="24"/>
          <w:highlight w:val="none"/>
        </w:rPr>
        <w:t>为同一人或者存在控股</w:t>
      </w:r>
      <w:r>
        <w:rPr>
          <w:rFonts w:eastAsia="黑体"/>
          <w:kern w:val="0"/>
          <w:sz w:val="24"/>
          <w:highlight w:val="none"/>
          <w:vertAlign w:val="superscript"/>
        </w:rPr>
        <w:footnoteReference w:id="1"/>
      </w:r>
      <w:r>
        <w:rPr>
          <w:rFonts w:eastAsia="黑体"/>
          <w:kern w:val="0"/>
          <w:sz w:val="24"/>
          <w:highlight w:val="none"/>
        </w:rPr>
        <w:t>、管理</w:t>
      </w:r>
      <w:r>
        <w:rPr>
          <w:rFonts w:eastAsia="黑体"/>
          <w:kern w:val="0"/>
          <w:sz w:val="24"/>
          <w:highlight w:val="none"/>
          <w:vertAlign w:val="superscript"/>
        </w:rPr>
        <w:footnoteReference w:id="2"/>
      </w:r>
      <w:r>
        <w:rPr>
          <w:rFonts w:eastAsia="黑体"/>
          <w:kern w:val="0"/>
          <w:sz w:val="24"/>
          <w:highlight w:val="none"/>
        </w:rPr>
        <w:t>关系的不同单位（即利益相关人），不得参加同一标段投标，否则，相关投标均无效</w:t>
      </w:r>
      <w:r>
        <w:rPr>
          <w:rFonts w:hint="eastAsia" w:ascii="宋体" w:hAnsi="宋体" w:cs="宋体"/>
          <w:sz w:val="24"/>
          <w:szCs w:val="24"/>
          <w:highlight w:val="none"/>
        </w:rPr>
        <w:t>。</w:t>
      </w:r>
    </w:p>
    <w:p>
      <w:pPr>
        <w:pStyle w:val="90"/>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 xml:space="preserve">3.5 </w:t>
      </w:r>
      <w:r>
        <w:rPr>
          <w:rFonts w:eastAsia="黑体"/>
          <w:sz w:val="24"/>
          <w:szCs w:val="20"/>
          <w:highlight w:val="none"/>
        </w:rPr>
        <w:t>招标人不接受</w:t>
      </w:r>
      <w:r>
        <w:rPr>
          <w:rFonts w:eastAsia="黑体"/>
          <w:sz w:val="24"/>
          <w:highlight w:val="none"/>
        </w:rPr>
        <w:t>在全国企业信用信息公示系统（http://www.gsxt.gov.cn）中被列入严重违法失信企业名单的或在“信用中国”网站（www.creditchina.gov.cn）中被列入失信被执行人名单的投标人投标</w:t>
      </w:r>
      <w:r>
        <w:rPr>
          <w:rFonts w:hint="eastAsia" w:ascii="宋体" w:hAnsi="宋体" w:cs="宋体"/>
          <w:sz w:val="24"/>
          <w:szCs w:val="24"/>
          <w:highlight w:val="none"/>
        </w:rPr>
        <w:t>。</w:t>
      </w:r>
      <w:r>
        <w:rPr>
          <w:rFonts w:hint="eastAsia" w:ascii="黑体" w:hAnsi="宋体" w:eastAsia="黑体" w:cs="黑体"/>
          <w:kern w:val="0"/>
          <w:sz w:val="24"/>
          <w:szCs w:val="24"/>
          <w:highlight w:val="none"/>
          <w:lang w:bidi="ar"/>
        </w:rPr>
        <w:t xml:space="preserve"> </w:t>
      </w:r>
    </w:p>
    <w:p>
      <w:pPr>
        <w:pStyle w:val="91"/>
        <w:spacing w:line="440" w:lineRule="exact"/>
        <w:rPr>
          <w:rFonts w:ascii="宋体" w:hAnsi="宋体" w:cs="宋体"/>
          <w:b/>
          <w:bCs/>
          <w:sz w:val="24"/>
          <w:szCs w:val="24"/>
          <w:highlight w:val="none"/>
        </w:rPr>
      </w:pPr>
      <w:r>
        <w:rPr>
          <w:rFonts w:hint="eastAsia" w:ascii="宋体" w:hAnsi="宋体" w:cs="宋体"/>
          <w:b/>
          <w:bCs/>
          <w:sz w:val="24"/>
          <w:szCs w:val="24"/>
          <w:highlight w:val="none"/>
        </w:rPr>
        <w:t>4.招标文件的获取</w:t>
      </w:r>
    </w:p>
    <w:p>
      <w:pPr>
        <w:pStyle w:val="89"/>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4.1 凡有意参加投标的单位，请自行在湖南省高速公路网（https://bid.hngs.net:12500/）平台上进行网上下载招标文件等资料。通过网络下载的招标文件等资料与备案的书面招标文件等资料具有同等法律效力。投标人应及时关注网上相关招标信息，如有遗漏或超过招标文件下载时间，招标人概不负责，所造成的投标失败或损失由投标人自行负责。</w:t>
      </w:r>
    </w:p>
    <w:p>
      <w:pPr>
        <w:pStyle w:val="92"/>
        <w:spacing w:line="440" w:lineRule="exact"/>
        <w:rPr>
          <w:rFonts w:ascii="宋体" w:hAnsi="宋体" w:cs="宋体"/>
          <w:b/>
          <w:bCs/>
          <w:sz w:val="24"/>
          <w:szCs w:val="24"/>
          <w:highlight w:val="none"/>
        </w:rPr>
      </w:pPr>
      <w:r>
        <w:rPr>
          <w:rFonts w:hint="eastAsia" w:ascii="宋体" w:hAnsi="宋体" w:cs="宋体"/>
          <w:b/>
          <w:bCs/>
          <w:sz w:val="24"/>
          <w:szCs w:val="24"/>
          <w:highlight w:val="none"/>
        </w:rPr>
        <w:t>5.投标文件的递交及相关事宜</w:t>
      </w:r>
    </w:p>
    <w:p>
      <w:pPr>
        <w:pStyle w:val="89"/>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5.1招标人不组织工程现场踏勘及投标预备会。</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5.2</w:t>
      </w:r>
      <w:r>
        <w:rPr>
          <w:sz w:val="24"/>
          <w:highlight w:val="none"/>
        </w:rPr>
        <w:t>投标文件递交的截止时间（投标截止时间，下同）为</w:t>
      </w:r>
      <w:r>
        <w:rPr>
          <w:rFonts w:hint="eastAsia"/>
          <w:sz w:val="24"/>
          <w:highlight w:val="none"/>
          <w:u w:val="single"/>
          <w:lang w:val="en-US" w:eastAsia="zh-CN"/>
        </w:rPr>
        <w:t>2023</w:t>
      </w:r>
      <w:r>
        <w:rPr>
          <w:sz w:val="24"/>
          <w:highlight w:val="none"/>
        </w:rPr>
        <w:t>年</w:t>
      </w:r>
      <w:r>
        <w:rPr>
          <w:rFonts w:hint="eastAsia"/>
          <w:sz w:val="24"/>
          <w:highlight w:val="none"/>
          <w:u w:val="single"/>
          <w:lang w:val="en-US" w:eastAsia="zh-CN"/>
        </w:rPr>
        <w:t>6</w:t>
      </w:r>
      <w:r>
        <w:rPr>
          <w:sz w:val="24"/>
          <w:highlight w:val="none"/>
        </w:rPr>
        <w:t>月</w:t>
      </w:r>
      <w:r>
        <w:rPr>
          <w:rFonts w:hint="eastAsia"/>
          <w:sz w:val="24"/>
          <w:highlight w:val="none"/>
          <w:u w:val="single"/>
          <w:lang w:val="en-US" w:eastAsia="zh-CN"/>
        </w:rPr>
        <w:t>20</w:t>
      </w:r>
      <w:r>
        <w:rPr>
          <w:sz w:val="24"/>
          <w:highlight w:val="none"/>
        </w:rPr>
        <w:t>日</w:t>
      </w:r>
      <w:r>
        <w:rPr>
          <w:rFonts w:hint="eastAsia"/>
          <w:sz w:val="24"/>
          <w:highlight w:val="none"/>
          <w:u w:val="single"/>
          <w:lang w:val="en-US" w:eastAsia="zh-CN"/>
        </w:rPr>
        <w:t>9</w:t>
      </w:r>
      <w:r>
        <w:rPr>
          <w:sz w:val="24"/>
          <w:highlight w:val="none"/>
        </w:rPr>
        <w:t>时</w:t>
      </w:r>
      <w:r>
        <w:rPr>
          <w:sz w:val="24"/>
          <w:highlight w:val="none"/>
          <w:u w:val="single"/>
        </w:rPr>
        <w:t xml:space="preserve">  </w:t>
      </w:r>
      <w:r>
        <w:rPr>
          <w:rFonts w:hint="eastAsia"/>
          <w:sz w:val="24"/>
          <w:highlight w:val="none"/>
          <w:u w:val="single"/>
          <w:lang w:val="en-US" w:eastAsia="zh-CN"/>
        </w:rPr>
        <w:t>00</w:t>
      </w:r>
      <w:r>
        <w:rPr>
          <w:sz w:val="24"/>
          <w:highlight w:val="none"/>
        </w:rPr>
        <w:t>分</w:t>
      </w:r>
      <w:r>
        <w:rPr>
          <w:rStyle w:val="48"/>
          <w:sz w:val="24"/>
          <w:highlight w:val="none"/>
        </w:rPr>
        <w:footnoteReference w:id="3"/>
      </w:r>
      <w:r>
        <w:rPr>
          <w:sz w:val="24"/>
          <w:highlight w:val="none"/>
        </w:rPr>
        <w:t>，投标人应于当日</w:t>
      </w:r>
      <w:r>
        <w:rPr>
          <w:rFonts w:hint="eastAsia"/>
          <w:sz w:val="24"/>
          <w:highlight w:val="none"/>
          <w:u w:val="single"/>
          <w:lang w:val="en-US" w:eastAsia="zh-CN"/>
        </w:rPr>
        <w:t>8</w:t>
      </w:r>
      <w:r>
        <w:rPr>
          <w:sz w:val="24"/>
          <w:highlight w:val="none"/>
        </w:rPr>
        <w:t>时</w:t>
      </w:r>
      <w:r>
        <w:rPr>
          <w:rFonts w:hint="eastAsia"/>
          <w:sz w:val="24"/>
          <w:highlight w:val="none"/>
          <w:u w:val="single"/>
          <w:lang w:val="en-US" w:eastAsia="zh-CN"/>
        </w:rPr>
        <w:t>30</w:t>
      </w:r>
      <w:r>
        <w:rPr>
          <w:sz w:val="24"/>
          <w:highlight w:val="none"/>
        </w:rPr>
        <w:t>分至</w:t>
      </w:r>
      <w:r>
        <w:rPr>
          <w:rFonts w:hint="eastAsia"/>
          <w:sz w:val="24"/>
          <w:highlight w:val="none"/>
          <w:u w:val="single"/>
          <w:lang w:val="en-US" w:eastAsia="zh-CN"/>
        </w:rPr>
        <w:t>9</w:t>
      </w:r>
      <w:r>
        <w:rPr>
          <w:sz w:val="24"/>
          <w:highlight w:val="none"/>
        </w:rPr>
        <w:t>时</w:t>
      </w:r>
      <w:r>
        <w:rPr>
          <w:rFonts w:hint="eastAsia"/>
          <w:sz w:val="24"/>
          <w:highlight w:val="none"/>
          <w:u w:val="single"/>
          <w:lang w:val="en-US" w:eastAsia="zh-CN"/>
        </w:rPr>
        <w:t>00</w:t>
      </w:r>
      <w:r>
        <w:rPr>
          <w:sz w:val="24"/>
          <w:highlight w:val="none"/>
        </w:rPr>
        <w:t>分将投标文件递交至</w:t>
      </w:r>
      <w:r>
        <w:rPr>
          <w:rFonts w:hint="eastAsia"/>
          <w:sz w:val="24"/>
          <w:highlight w:val="none"/>
          <w:u w:val="single"/>
        </w:rPr>
        <w:t>湖南省长沙市雨花区洞井中路411号园康星都荟5栋14楼</w:t>
      </w:r>
      <w:r>
        <w:rPr>
          <w:rFonts w:hint="eastAsia" w:ascii="宋体" w:hAnsi="宋体" w:cs="宋体"/>
          <w:sz w:val="24"/>
          <w:szCs w:val="24"/>
          <w:highlight w:val="none"/>
        </w:rPr>
        <w:t>。</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5.3</w:t>
      </w:r>
      <w:r>
        <w:rPr>
          <w:sz w:val="24"/>
          <w:highlight w:val="none"/>
        </w:rPr>
        <w:t>逾期送达的、未送达指定地点的或不按照招标文件要求密封的投标文件，招标人将予以拒收</w:t>
      </w:r>
      <w:r>
        <w:rPr>
          <w:rFonts w:hint="eastAsia" w:ascii="宋体" w:hAnsi="宋体" w:cs="宋体"/>
          <w:sz w:val="24"/>
          <w:szCs w:val="24"/>
          <w:highlight w:val="none"/>
        </w:rPr>
        <w:t>。</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5.4投标保证金的递交：</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投标保证金的金额：贰万元整（￥20000.00元）</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投标人采用现金方式递交投标保证金的，投标人应在投标截止时间前（以到账时间为准）以转账、电汇、网银方式从投标人基本账户一次性划到以下保证金专用账户：</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户 名：</w:t>
      </w:r>
      <w:r>
        <w:rPr>
          <w:rFonts w:hint="eastAsia" w:ascii="宋体" w:hAnsi="宋体"/>
          <w:sz w:val="24"/>
          <w:highlight w:val="none"/>
        </w:rPr>
        <w:t>湖南省新新张官高速公路建设开发有限公司新宁分公司</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开户银行：</w:t>
      </w:r>
      <w:r>
        <w:rPr>
          <w:rFonts w:hint="eastAsia" w:ascii="宋体" w:hAnsi="宋体"/>
          <w:sz w:val="24"/>
          <w:highlight w:val="none"/>
        </w:rPr>
        <w:t>中国银行崀山支行</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账 号：5963 7772 8862</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（投标保证金应备注：1标段水土保持监测或2标段环境监测服务）</w:t>
      </w:r>
    </w:p>
    <w:p>
      <w:pPr>
        <w:pStyle w:val="94"/>
        <w:spacing w:line="440" w:lineRule="exact"/>
        <w:rPr>
          <w:rFonts w:ascii="宋体" w:hAnsi="宋体" w:cs="宋体"/>
          <w:b/>
          <w:bCs/>
          <w:sz w:val="24"/>
          <w:szCs w:val="24"/>
          <w:highlight w:val="none"/>
        </w:rPr>
      </w:pPr>
      <w:r>
        <w:rPr>
          <w:rFonts w:hint="eastAsia" w:ascii="宋体" w:hAnsi="宋体" w:cs="宋体"/>
          <w:b/>
          <w:bCs/>
          <w:sz w:val="24"/>
          <w:szCs w:val="24"/>
          <w:highlight w:val="none"/>
        </w:rPr>
        <w:t>6．评标办法</w:t>
      </w:r>
    </w:p>
    <w:p>
      <w:pPr>
        <w:pStyle w:val="95"/>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本项目评标办法采用</w:t>
      </w:r>
      <w:r>
        <w:rPr>
          <w:rFonts w:hint="eastAsia" w:ascii="宋体" w:hAnsi="宋体" w:cs="宋体"/>
          <w:sz w:val="24"/>
          <w:szCs w:val="24"/>
          <w:highlight w:val="none"/>
          <w:u w:val="single"/>
        </w:rPr>
        <w:t xml:space="preserve"> </w:t>
      </w:r>
      <w:r>
        <w:rPr>
          <w:rFonts w:hint="eastAsia" w:ascii="宋体" w:hAnsi="宋体" w:cs="宋体"/>
          <w:b/>
          <w:sz w:val="24"/>
          <w:szCs w:val="24"/>
          <w:highlight w:val="none"/>
          <w:u w:val="single"/>
        </w:rPr>
        <w:t>综合评估法</w:t>
      </w:r>
      <w:r>
        <w:rPr>
          <w:rFonts w:hint="eastAsia" w:ascii="宋体" w:hAnsi="宋体" w:cs="宋体"/>
          <w:sz w:val="24"/>
          <w:szCs w:val="24"/>
          <w:highlight w:val="none"/>
          <w:u w:val="single"/>
        </w:rPr>
        <w:t xml:space="preserve"> </w:t>
      </w:r>
      <w:r>
        <w:rPr>
          <w:rFonts w:hint="eastAsia" w:ascii="宋体" w:hAnsi="宋体" w:cs="宋体"/>
          <w:sz w:val="24"/>
          <w:szCs w:val="24"/>
          <w:highlight w:val="none"/>
        </w:rPr>
        <w:t>。</w:t>
      </w:r>
    </w:p>
    <w:p>
      <w:pPr>
        <w:pStyle w:val="96"/>
        <w:spacing w:line="440" w:lineRule="exact"/>
        <w:rPr>
          <w:rFonts w:ascii="宋体" w:hAnsi="宋体" w:cs="宋体"/>
          <w:b/>
          <w:bCs/>
          <w:sz w:val="24"/>
          <w:szCs w:val="24"/>
          <w:highlight w:val="none"/>
        </w:rPr>
      </w:pPr>
      <w:r>
        <w:rPr>
          <w:rFonts w:hint="eastAsia" w:ascii="宋体" w:hAnsi="宋体" w:cs="宋体"/>
          <w:b/>
          <w:bCs/>
          <w:sz w:val="24"/>
          <w:szCs w:val="24"/>
          <w:highlight w:val="none"/>
        </w:rPr>
        <w:t>7.发布公告的媒介</w:t>
      </w:r>
    </w:p>
    <w:p>
      <w:pPr>
        <w:pStyle w:val="97"/>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本次招标公告在中国招标投标公共服务平台（www.cebpubservice.com）、湖南省高速公路网（https://bid.hngs.net:12500/）上发布。</w:t>
      </w:r>
    </w:p>
    <w:p>
      <w:pPr>
        <w:pStyle w:val="98"/>
        <w:spacing w:line="440" w:lineRule="exact"/>
        <w:rPr>
          <w:rFonts w:ascii="宋体" w:hAnsi="宋体" w:cs="宋体"/>
          <w:b/>
          <w:bCs/>
          <w:sz w:val="24"/>
          <w:szCs w:val="24"/>
          <w:highlight w:val="none"/>
        </w:rPr>
      </w:pPr>
      <w:r>
        <w:rPr>
          <w:rFonts w:hint="eastAsia" w:ascii="宋体" w:hAnsi="宋体" w:cs="宋体"/>
          <w:b/>
          <w:bCs/>
          <w:sz w:val="24"/>
          <w:szCs w:val="24"/>
          <w:highlight w:val="none"/>
        </w:rPr>
        <w:t>8.附件</w:t>
      </w:r>
    </w:p>
    <w:p>
      <w:pPr>
        <w:pStyle w:val="99"/>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附件 1：资格审查条件要求（详见第二章 投标人须知之附录）</w:t>
      </w:r>
    </w:p>
    <w:p>
      <w:pPr>
        <w:pStyle w:val="99"/>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附件 2：评标办法：(详见第三章 评标办法)</w:t>
      </w:r>
    </w:p>
    <w:p>
      <w:pPr>
        <w:pStyle w:val="99"/>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附件 3：水土保持方案报告书及批复文件、环境影响报告书及批复文件</w:t>
      </w:r>
    </w:p>
    <w:p>
      <w:pPr>
        <w:pStyle w:val="100"/>
        <w:spacing w:line="440" w:lineRule="exact"/>
        <w:rPr>
          <w:rFonts w:ascii="宋体" w:hAnsi="宋体" w:cs="宋体"/>
          <w:b/>
          <w:bCs/>
          <w:sz w:val="24"/>
          <w:szCs w:val="24"/>
          <w:highlight w:val="none"/>
        </w:rPr>
      </w:pPr>
      <w:r>
        <w:rPr>
          <w:rFonts w:hint="eastAsia" w:ascii="宋体" w:hAnsi="宋体" w:cs="宋体"/>
          <w:b/>
          <w:bCs/>
          <w:sz w:val="24"/>
          <w:szCs w:val="24"/>
          <w:highlight w:val="none"/>
        </w:rPr>
        <w:t>9.联系方式</w:t>
      </w:r>
    </w:p>
    <w:p>
      <w:pPr>
        <w:pStyle w:val="93"/>
        <w:spacing w:line="440" w:lineRule="exact"/>
        <w:ind w:firstLine="482" w:firstLineChars="200"/>
        <w:rPr>
          <w:rFonts w:ascii="宋体" w:hAnsi="宋体" w:cs="宋体"/>
          <w:b/>
          <w:bCs/>
          <w:sz w:val="24"/>
          <w:szCs w:val="24"/>
          <w:highlight w:val="none"/>
        </w:rPr>
      </w:pPr>
      <w:r>
        <w:rPr>
          <w:rFonts w:hint="eastAsia" w:ascii="宋体" w:hAnsi="宋体" w:cs="宋体"/>
          <w:b/>
          <w:bCs/>
          <w:sz w:val="24"/>
          <w:szCs w:val="24"/>
          <w:highlight w:val="none"/>
        </w:rPr>
        <w:t>招标人：湖南省新新张官高速公路建设开发有限公司新宁分公司</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地址：湖南省邵阳市新宁县金石镇新宁产业开发区管理委员会湘商产业园（中正科技旁）</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联系人：覃先生</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 xml:space="preserve">电话：17396189639 </w:t>
      </w:r>
    </w:p>
    <w:p>
      <w:pPr>
        <w:pStyle w:val="93"/>
        <w:spacing w:line="440" w:lineRule="exact"/>
        <w:ind w:firstLine="482" w:firstLineChars="200"/>
        <w:rPr>
          <w:rFonts w:ascii="宋体" w:hAnsi="宋体" w:cs="宋体"/>
          <w:b/>
          <w:bCs/>
          <w:sz w:val="24"/>
          <w:szCs w:val="24"/>
          <w:highlight w:val="none"/>
        </w:rPr>
      </w:pPr>
      <w:r>
        <w:rPr>
          <w:rFonts w:hint="eastAsia" w:ascii="宋体" w:hAnsi="宋体" w:cs="宋体"/>
          <w:b/>
          <w:bCs/>
          <w:sz w:val="24"/>
          <w:szCs w:val="24"/>
          <w:highlight w:val="none"/>
        </w:rPr>
        <w:t>招标代理机构：北京江河润泽工程管理咨询有限公司</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地址：湖南省长沙市雨花区洞井中路411号园康星都荟5栋14楼</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邮编：410004</w:t>
      </w:r>
      <w:r>
        <w:rPr>
          <w:rFonts w:hint="eastAsia" w:ascii="宋体" w:hAnsi="宋体" w:cs="宋体"/>
          <w:sz w:val="24"/>
          <w:szCs w:val="24"/>
          <w:highlight w:val="none"/>
        </w:rPr>
        <w:tab/>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联系人：李灿阳、刘娅、汪文霞</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电话：0731-84215518</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传真：0731-84215518</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电子邮箱：1377556012@qq.com</w:t>
      </w:r>
    </w:p>
    <w:p>
      <w:pPr>
        <w:pStyle w:val="93"/>
        <w:spacing w:line="440" w:lineRule="exact"/>
        <w:ind w:firstLine="480" w:firstLineChars="200"/>
        <w:rPr>
          <w:rFonts w:ascii="宋体" w:hAnsi="宋体" w:cs="宋体"/>
          <w:sz w:val="24"/>
          <w:szCs w:val="24"/>
          <w:highlight w:val="none"/>
        </w:rPr>
      </w:pPr>
      <w:r>
        <w:rPr>
          <w:rFonts w:hint="eastAsia" w:ascii="宋体" w:hAnsi="宋体" w:cs="宋体"/>
          <w:sz w:val="24"/>
          <w:szCs w:val="24"/>
          <w:highlight w:val="none"/>
        </w:rPr>
        <w:t>网址：</w:t>
      </w:r>
      <w:r>
        <w:rPr>
          <w:highlight w:val="none"/>
        </w:rPr>
        <w:fldChar w:fldCharType="begin"/>
      </w:r>
      <w:r>
        <w:rPr>
          <w:highlight w:val="none"/>
        </w:rPr>
        <w:instrText xml:space="preserve"> HYPERLINK "http://www.chinabrr.com/" </w:instrText>
      </w:r>
      <w:r>
        <w:rPr>
          <w:highlight w:val="none"/>
        </w:rPr>
        <w:fldChar w:fldCharType="separate"/>
      </w:r>
      <w:r>
        <w:rPr>
          <w:rFonts w:hint="eastAsia" w:ascii="宋体" w:hAnsi="宋体" w:cs="宋体"/>
          <w:sz w:val="24"/>
          <w:szCs w:val="24"/>
          <w:highlight w:val="none"/>
        </w:rPr>
        <w:t>http://www.chinabrr.com/</w:t>
      </w:r>
      <w:r>
        <w:rPr>
          <w:rFonts w:hint="eastAsia" w:ascii="宋体" w:hAnsi="宋体" w:cs="宋体"/>
          <w:sz w:val="24"/>
          <w:szCs w:val="24"/>
          <w:highlight w:val="none"/>
        </w:rPr>
        <w:fldChar w:fldCharType="end"/>
      </w:r>
    </w:p>
    <w:p>
      <w:pPr>
        <w:pStyle w:val="93"/>
        <w:spacing w:line="440" w:lineRule="exact"/>
        <w:ind w:firstLine="480" w:firstLineChars="200"/>
        <w:rPr>
          <w:rFonts w:ascii="宋体" w:hAnsi="宋体" w:cs="宋体"/>
          <w:sz w:val="24"/>
          <w:szCs w:val="24"/>
          <w:highlight w:val="none"/>
        </w:rPr>
      </w:pPr>
    </w:p>
    <w:p>
      <w:pPr>
        <w:pStyle w:val="101"/>
        <w:spacing w:line="440" w:lineRule="exact"/>
        <w:rPr>
          <w:rFonts w:ascii="宋体" w:hAnsi="宋体" w:cs="宋体"/>
          <w:sz w:val="24"/>
          <w:szCs w:val="24"/>
          <w:highlight w:val="none"/>
        </w:rPr>
      </w:pPr>
    </w:p>
    <w:p>
      <w:pPr>
        <w:pStyle w:val="102"/>
        <w:spacing w:line="440" w:lineRule="exact"/>
        <w:jc w:val="right"/>
        <w:rPr>
          <w:rFonts w:ascii="宋体" w:hAnsi="宋体" w:cs="宋体"/>
          <w:sz w:val="24"/>
          <w:szCs w:val="24"/>
          <w:highlight w:val="none"/>
        </w:rPr>
      </w:pPr>
      <w:r>
        <w:rPr>
          <w:rFonts w:hint="eastAsia" w:ascii="宋体" w:hAnsi="宋体" w:cs="宋体"/>
          <w:sz w:val="24"/>
          <w:szCs w:val="24"/>
          <w:highlight w:val="none"/>
        </w:rPr>
        <w:t>2023年</w:t>
      </w:r>
      <w:r>
        <w:rPr>
          <w:rFonts w:hint="eastAsia" w:ascii="宋体" w:hAnsi="宋体" w:cs="宋体"/>
          <w:sz w:val="24"/>
          <w:szCs w:val="24"/>
          <w:highlight w:val="none"/>
          <w:lang w:val="en-US" w:eastAsia="zh-CN"/>
        </w:rPr>
        <w:t>5</w:t>
      </w:r>
      <w:r>
        <w:rPr>
          <w:rFonts w:hint="eastAsia" w:ascii="宋体" w:hAnsi="宋体" w:cs="宋体"/>
          <w:sz w:val="24"/>
          <w:szCs w:val="24"/>
          <w:highlight w:val="none"/>
        </w:rPr>
        <w:t>月</w:t>
      </w:r>
      <w:r>
        <w:rPr>
          <w:rFonts w:hint="eastAsia" w:ascii="宋体" w:hAnsi="宋体" w:cs="宋体"/>
          <w:sz w:val="24"/>
          <w:szCs w:val="24"/>
          <w:highlight w:val="none"/>
          <w:lang w:val="en-US" w:eastAsia="zh-CN"/>
        </w:rPr>
        <w:t>29</w:t>
      </w:r>
      <w:r>
        <w:rPr>
          <w:rFonts w:hint="eastAsia" w:ascii="宋体" w:hAnsi="宋体" w:cs="宋体"/>
          <w:sz w:val="24"/>
          <w:szCs w:val="24"/>
          <w:highlight w:val="none"/>
        </w:rPr>
        <w:t>日</w:t>
      </w:r>
    </w:p>
    <w:bookmarkEnd w:id="5"/>
    <w:bookmarkEnd w:id="6"/>
    <w:p>
      <w:pPr>
        <w:spacing w:line="360" w:lineRule="auto"/>
        <w:ind w:firstLine="420" w:firstLineChars="200"/>
        <w:jc w:val="left"/>
        <w:rPr>
          <w:highlight w:val="none"/>
        </w:rPr>
      </w:pPr>
    </w:p>
    <w:p>
      <w:pPr>
        <w:rPr>
          <w:highlight w:val="none"/>
        </w:rPr>
      </w:pPr>
    </w:p>
    <w:p>
      <w:pPr>
        <w:rPr>
          <w:highlight w:val="none"/>
        </w:rPr>
      </w:pPr>
    </w:p>
    <w:p>
      <w:pPr>
        <w:rPr>
          <w:highlight w:val="none"/>
        </w:rPr>
      </w:pPr>
    </w:p>
    <w:p>
      <w:pPr>
        <w:rPr>
          <w:highlight w:val="none"/>
        </w:rPr>
      </w:pPr>
    </w:p>
    <w:p>
      <w:pPr>
        <w:rPr>
          <w:highlight w:val="none"/>
        </w:rPr>
      </w:pPr>
    </w:p>
    <w:p>
      <w:pPr>
        <w:pStyle w:val="3"/>
        <w:keepLines/>
        <w:spacing w:line="360" w:lineRule="auto"/>
        <w:jc w:val="center"/>
        <w:rPr>
          <w:highlight w:val="none"/>
        </w:rPr>
      </w:pPr>
      <w:bookmarkStart w:id="9" w:name="_Toc241635395"/>
      <w:bookmarkStart w:id="10" w:name="_Toc4750"/>
      <w:r>
        <w:rPr>
          <w:rFonts w:hint="eastAsia" w:ascii="黑体" w:eastAsia="黑体"/>
          <w:b w:val="0"/>
          <w:bCs/>
          <w:kern w:val="44"/>
          <w:position w:val="0"/>
          <w:szCs w:val="32"/>
          <w:highlight w:val="none"/>
        </w:rPr>
        <w:t>第二章  投标人须知</w:t>
      </w:r>
      <w:bookmarkEnd w:id="9"/>
      <w:bookmarkEnd w:id="10"/>
    </w:p>
    <w:p>
      <w:pPr>
        <w:rPr>
          <w:highlight w:val="none"/>
        </w:rPr>
      </w:pPr>
    </w:p>
    <w:p>
      <w:pPr>
        <w:pStyle w:val="4"/>
        <w:keepLines/>
        <w:snapToGrid w:val="0"/>
        <w:spacing w:line="360" w:lineRule="auto"/>
        <w:rPr>
          <w:b w:val="0"/>
          <w:bCs w:val="0"/>
          <w:position w:val="0"/>
          <w:sz w:val="30"/>
          <w:highlight w:val="none"/>
        </w:rPr>
      </w:pPr>
      <w:bookmarkStart w:id="11" w:name="_Toc4448"/>
      <w:bookmarkStart w:id="12" w:name="_Toc24470"/>
      <w:bookmarkStart w:id="13" w:name="_Toc301172085"/>
      <w:bookmarkStart w:id="14" w:name="_Toc304994649"/>
      <w:bookmarkStart w:id="15" w:name="_Toc237060978"/>
      <w:bookmarkStart w:id="16" w:name="_Toc282157234"/>
      <w:bookmarkStart w:id="17" w:name="_Toc31803"/>
      <w:r>
        <w:rPr>
          <w:rFonts w:hint="eastAsia" w:ascii="黑体" w:hAnsi="Times New Roman" w:eastAsia="黑体"/>
          <w:b w:val="0"/>
          <w:szCs w:val="24"/>
          <w:highlight w:val="none"/>
        </w:rPr>
        <w:t>投标人须知前附表</w:t>
      </w:r>
      <w:bookmarkEnd w:id="11"/>
      <w:bookmarkEnd w:id="12"/>
      <w:bookmarkEnd w:id="13"/>
      <w:bookmarkEnd w:id="14"/>
      <w:bookmarkEnd w:id="15"/>
      <w:bookmarkEnd w:id="16"/>
      <w:bookmarkEnd w:id="17"/>
    </w:p>
    <w:tbl>
      <w:tblPr>
        <w:tblStyle w:val="38"/>
        <w:tblW w:w="4992" w:type="pct"/>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003"/>
        <w:gridCol w:w="2643"/>
        <w:gridCol w:w="5344"/>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7" w:hRule="atLeast"/>
          <w:jc w:val="center"/>
        </w:trPr>
        <w:tc>
          <w:tcPr>
            <w:tcW w:w="558" w:type="pct"/>
            <w:vAlign w:val="center"/>
          </w:tcPr>
          <w:p>
            <w:pPr>
              <w:spacing w:line="240" w:lineRule="exact"/>
              <w:jc w:val="center"/>
              <w:rPr>
                <w:rFonts w:ascii="黑体" w:hAnsi="宋体" w:eastAsia="黑体"/>
                <w:position w:val="0"/>
                <w:sz w:val="24"/>
                <w:szCs w:val="24"/>
                <w:highlight w:val="none"/>
              </w:rPr>
            </w:pPr>
            <w:r>
              <w:rPr>
                <w:rFonts w:hint="eastAsia" w:ascii="黑体" w:hAnsi="宋体" w:eastAsia="黑体"/>
                <w:position w:val="0"/>
                <w:sz w:val="24"/>
                <w:szCs w:val="24"/>
                <w:highlight w:val="none"/>
              </w:rPr>
              <w:t>条款号</w:t>
            </w:r>
          </w:p>
        </w:tc>
        <w:tc>
          <w:tcPr>
            <w:tcW w:w="1470" w:type="pct"/>
            <w:vAlign w:val="center"/>
          </w:tcPr>
          <w:p>
            <w:pPr>
              <w:spacing w:line="240" w:lineRule="exact"/>
              <w:jc w:val="center"/>
              <w:rPr>
                <w:rFonts w:ascii="黑体" w:hAnsi="宋体" w:eastAsia="黑体"/>
                <w:position w:val="0"/>
                <w:sz w:val="24"/>
                <w:szCs w:val="24"/>
                <w:highlight w:val="none"/>
              </w:rPr>
            </w:pPr>
            <w:r>
              <w:rPr>
                <w:rFonts w:hint="eastAsia" w:ascii="黑体" w:hAnsi="宋体" w:eastAsia="黑体"/>
                <w:position w:val="0"/>
                <w:sz w:val="24"/>
                <w:szCs w:val="24"/>
                <w:highlight w:val="none"/>
              </w:rPr>
              <w:t>条 款 名 称</w:t>
            </w:r>
          </w:p>
        </w:tc>
        <w:tc>
          <w:tcPr>
            <w:tcW w:w="2971" w:type="pct"/>
            <w:vAlign w:val="center"/>
          </w:tcPr>
          <w:p>
            <w:pPr>
              <w:spacing w:line="240" w:lineRule="exact"/>
              <w:jc w:val="center"/>
              <w:rPr>
                <w:rFonts w:ascii="黑体" w:hAnsi="宋体" w:eastAsia="黑体"/>
                <w:position w:val="0"/>
                <w:sz w:val="24"/>
                <w:szCs w:val="24"/>
                <w:highlight w:val="none"/>
              </w:rPr>
            </w:pPr>
            <w:r>
              <w:rPr>
                <w:rFonts w:hint="eastAsia" w:ascii="黑体" w:hAnsi="宋体" w:eastAsia="黑体"/>
                <w:position w:val="0"/>
                <w:sz w:val="24"/>
                <w:szCs w:val="24"/>
                <w:highlight w:val="none"/>
              </w:rPr>
              <w:t>编 列 内 容</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625" w:hRule="atLeast"/>
          <w:jc w:val="center"/>
        </w:trPr>
        <w:tc>
          <w:tcPr>
            <w:tcW w:w="558" w:type="pct"/>
            <w:tcBorders>
              <w:bottom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1.1.2</w:t>
            </w:r>
          </w:p>
        </w:tc>
        <w:tc>
          <w:tcPr>
            <w:tcW w:w="1470" w:type="pct"/>
            <w:tcBorders>
              <w:bottom w:val="single" w:color="auto" w:sz="4" w:space="0"/>
            </w:tcBorders>
            <w:vAlign w:val="center"/>
          </w:tcPr>
          <w:p>
            <w:pPr>
              <w:tabs>
                <w:tab w:val="center" w:pos="4897"/>
                <w:tab w:val="left" w:pos="7110"/>
              </w:tabs>
              <w:spacing w:line="240" w:lineRule="exact"/>
              <w:jc w:val="center"/>
              <w:rPr>
                <w:position w:val="0"/>
                <w:szCs w:val="21"/>
                <w:highlight w:val="none"/>
              </w:rPr>
            </w:pPr>
            <w:r>
              <w:rPr>
                <w:rFonts w:hint="eastAsia"/>
                <w:position w:val="0"/>
                <w:szCs w:val="21"/>
                <w:highlight w:val="none"/>
              </w:rPr>
              <w:t>招标人</w:t>
            </w:r>
          </w:p>
        </w:tc>
        <w:tc>
          <w:tcPr>
            <w:tcW w:w="2971" w:type="pct"/>
            <w:vAlign w:val="center"/>
          </w:tcPr>
          <w:p>
            <w:pPr>
              <w:tabs>
                <w:tab w:val="center" w:pos="4897"/>
                <w:tab w:val="left" w:pos="7110"/>
              </w:tabs>
              <w:spacing w:line="230" w:lineRule="exact"/>
              <w:rPr>
                <w:rFonts w:ascii="宋体" w:hAnsi="宋体"/>
                <w:position w:val="0"/>
                <w:szCs w:val="21"/>
                <w:highlight w:val="none"/>
              </w:rPr>
            </w:pPr>
            <w:r>
              <w:rPr>
                <w:rFonts w:hint="eastAsia" w:ascii="宋体" w:hAnsi="宋体"/>
                <w:position w:val="0"/>
                <w:szCs w:val="21"/>
                <w:highlight w:val="none"/>
              </w:rPr>
              <w:t>招标人：湖南省新新张官高速公路建设开发有限公司新宁分公司</w:t>
            </w:r>
          </w:p>
          <w:p>
            <w:pPr>
              <w:tabs>
                <w:tab w:val="center" w:pos="4897"/>
                <w:tab w:val="left" w:pos="7110"/>
              </w:tabs>
              <w:spacing w:line="230" w:lineRule="exact"/>
              <w:rPr>
                <w:rFonts w:ascii="宋体" w:hAnsi="宋体"/>
                <w:position w:val="0"/>
                <w:szCs w:val="21"/>
                <w:highlight w:val="none"/>
              </w:rPr>
            </w:pPr>
            <w:r>
              <w:rPr>
                <w:rFonts w:hint="eastAsia" w:ascii="宋体" w:hAnsi="宋体"/>
                <w:position w:val="0"/>
                <w:szCs w:val="21"/>
                <w:highlight w:val="none"/>
              </w:rPr>
              <w:t>地址：湖南省邵阳市新宁县金石镇新宁产业开发区管理委员会湘商产业园（中正科技旁）</w:t>
            </w:r>
          </w:p>
          <w:p>
            <w:pPr>
              <w:tabs>
                <w:tab w:val="center" w:pos="4897"/>
                <w:tab w:val="left" w:pos="7110"/>
              </w:tabs>
              <w:spacing w:line="230" w:lineRule="exact"/>
              <w:rPr>
                <w:rFonts w:ascii="宋体" w:hAnsi="宋体"/>
                <w:position w:val="0"/>
                <w:szCs w:val="21"/>
                <w:highlight w:val="none"/>
              </w:rPr>
            </w:pPr>
            <w:r>
              <w:rPr>
                <w:rFonts w:hint="eastAsia" w:ascii="宋体" w:hAnsi="宋体"/>
                <w:position w:val="0"/>
                <w:szCs w:val="21"/>
                <w:highlight w:val="none"/>
              </w:rPr>
              <w:t>联系人：覃先生</w:t>
            </w:r>
          </w:p>
          <w:p>
            <w:pPr>
              <w:tabs>
                <w:tab w:val="center" w:pos="4897"/>
                <w:tab w:val="left" w:pos="7110"/>
              </w:tabs>
              <w:spacing w:line="230" w:lineRule="exact"/>
              <w:rPr>
                <w:rFonts w:ascii="宋体" w:hAnsi="宋体"/>
                <w:position w:val="0"/>
                <w:szCs w:val="21"/>
                <w:highlight w:val="none"/>
              </w:rPr>
            </w:pPr>
            <w:r>
              <w:rPr>
                <w:rFonts w:hint="eastAsia" w:ascii="宋体" w:hAnsi="宋体"/>
                <w:position w:val="0"/>
                <w:szCs w:val="21"/>
                <w:highlight w:val="none"/>
              </w:rPr>
              <w:t>电话：17396189639</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2355" w:hRule="atLeast"/>
          <w:jc w:val="center"/>
        </w:trPr>
        <w:tc>
          <w:tcPr>
            <w:tcW w:w="558" w:type="pct"/>
            <w:tcBorders>
              <w:top w:val="single" w:color="auto" w:sz="4" w:space="0"/>
              <w:bottom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1.1.3</w:t>
            </w:r>
          </w:p>
        </w:tc>
        <w:tc>
          <w:tcPr>
            <w:tcW w:w="1470" w:type="pct"/>
            <w:tcBorders>
              <w:top w:val="single" w:color="auto" w:sz="4" w:space="0"/>
              <w:bottom w:val="single" w:color="auto" w:sz="4" w:space="0"/>
            </w:tcBorders>
            <w:vAlign w:val="center"/>
          </w:tcPr>
          <w:p>
            <w:pPr>
              <w:tabs>
                <w:tab w:val="center" w:pos="4897"/>
                <w:tab w:val="left" w:pos="7110"/>
              </w:tabs>
              <w:spacing w:line="240" w:lineRule="exact"/>
              <w:jc w:val="center"/>
              <w:rPr>
                <w:position w:val="0"/>
                <w:szCs w:val="21"/>
                <w:highlight w:val="none"/>
              </w:rPr>
            </w:pPr>
            <w:r>
              <w:rPr>
                <w:rFonts w:hint="eastAsia"/>
                <w:position w:val="0"/>
                <w:szCs w:val="21"/>
                <w:highlight w:val="none"/>
              </w:rPr>
              <w:t>招标代理机构</w:t>
            </w:r>
          </w:p>
        </w:tc>
        <w:tc>
          <w:tcPr>
            <w:tcW w:w="2971" w:type="pct"/>
            <w:vAlign w:val="center"/>
          </w:tcPr>
          <w:p>
            <w:pPr>
              <w:tabs>
                <w:tab w:val="center" w:pos="4897"/>
                <w:tab w:val="left" w:pos="7110"/>
              </w:tabs>
              <w:spacing w:line="230" w:lineRule="exact"/>
              <w:rPr>
                <w:position w:val="0"/>
                <w:szCs w:val="21"/>
                <w:highlight w:val="none"/>
              </w:rPr>
            </w:pPr>
            <w:r>
              <w:rPr>
                <w:rFonts w:hint="eastAsia"/>
                <w:position w:val="0"/>
                <w:szCs w:val="21"/>
                <w:highlight w:val="none"/>
              </w:rPr>
              <w:t>招标代理机构：北京江河润泽工程管理咨询有限公司</w:t>
            </w:r>
          </w:p>
          <w:p>
            <w:pPr>
              <w:tabs>
                <w:tab w:val="center" w:pos="4897"/>
                <w:tab w:val="left" w:pos="7110"/>
              </w:tabs>
              <w:spacing w:line="230" w:lineRule="exact"/>
              <w:rPr>
                <w:position w:val="0"/>
                <w:szCs w:val="21"/>
                <w:highlight w:val="none"/>
              </w:rPr>
            </w:pPr>
            <w:r>
              <w:rPr>
                <w:rFonts w:hint="eastAsia"/>
                <w:position w:val="0"/>
                <w:szCs w:val="21"/>
                <w:highlight w:val="none"/>
              </w:rPr>
              <w:t>地址：湖南省长沙市雨花区洞井中路411号园康星都荟5栋14楼</w:t>
            </w:r>
          </w:p>
          <w:p>
            <w:pPr>
              <w:tabs>
                <w:tab w:val="center" w:pos="4897"/>
                <w:tab w:val="left" w:pos="7110"/>
              </w:tabs>
              <w:spacing w:line="230" w:lineRule="exact"/>
              <w:rPr>
                <w:position w:val="0"/>
                <w:szCs w:val="21"/>
                <w:highlight w:val="none"/>
              </w:rPr>
            </w:pPr>
            <w:r>
              <w:rPr>
                <w:rFonts w:hint="eastAsia"/>
                <w:position w:val="0"/>
                <w:szCs w:val="21"/>
                <w:highlight w:val="none"/>
              </w:rPr>
              <w:t>邮编：410004</w:t>
            </w:r>
            <w:r>
              <w:rPr>
                <w:rFonts w:hint="eastAsia"/>
                <w:position w:val="0"/>
                <w:szCs w:val="21"/>
                <w:highlight w:val="none"/>
              </w:rPr>
              <w:tab/>
            </w:r>
          </w:p>
          <w:p>
            <w:pPr>
              <w:tabs>
                <w:tab w:val="center" w:pos="4897"/>
                <w:tab w:val="left" w:pos="7110"/>
              </w:tabs>
              <w:spacing w:line="230" w:lineRule="exact"/>
              <w:rPr>
                <w:position w:val="0"/>
                <w:szCs w:val="21"/>
                <w:highlight w:val="none"/>
              </w:rPr>
            </w:pPr>
            <w:r>
              <w:rPr>
                <w:rFonts w:hint="eastAsia"/>
                <w:position w:val="0"/>
                <w:szCs w:val="21"/>
                <w:highlight w:val="none"/>
              </w:rPr>
              <w:t>联系人：李灿阳、刘娅、汪文霞</w:t>
            </w:r>
          </w:p>
          <w:p>
            <w:pPr>
              <w:tabs>
                <w:tab w:val="center" w:pos="4897"/>
                <w:tab w:val="left" w:pos="7110"/>
              </w:tabs>
              <w:spacing w:line="230" w:lineRule="exact"/>
              <w:rPr>
                <w:position w:val="0"/>
                <w:szCs w:val="21"/>
                <w:highlight w:val="none"/>
              </w:rPr>
            </w:pPr>
            <w:r>
              <w:rPr>
                <w:rFonts w:hint="eastAsia"/>
                <w:position w:val="0"/>
                <w:szCs w:val="21"/>
                <w:highlight w:val="none"/>
              </w:rPr>
              <w:t>电话：0731-84215518</w:t>
            </w:r>
          </w:p>
          <w:p>
            <w:pPr>
              <w:tabs>
                <w:tab w:val="center" w:pos="4897"/>
                <w:tab w:val="left" w:pos="7110"/>
              </w:tabs>
              <w:spacing w:line="230" w:lineRule="exact"/>
              <w:rPr>
                <w:position w:val="0"/>
                <w:szCs w:val="21"/>
                <w:highlight w:val="none"/>
              </w:rPr>
            </w:pPr>
            <w:r>
              <w:rPr>
                <w:rFonts w:hint="eastAsia"/>
                <w:position w:val="0"/>
                <w:szCs w:val="21"/>
                <w:highlight w:val="none"/>
              </w:rPr>
              <w:t>传真：0731-84215518</w:t>
            </w:r>
          </w:p>
          <w:p>
            <w:pPr>
              <w:tabs>
                <w:tab w:val="center" w:pos="4897"/>
                <w:tab w:val="left" w:pos="7110"/>
              </w:tabs>
              <w:spacing w:line="230" w:lineRule="exact"/>
              <w:rPr>
                <w:position w:val="0"/>
                <w:szCs w:val="21"/>
                <w:highlight w:val="none"/>
              </w:rPr>
            </w:pPr>
            <w:r>
              <w:rPr>
                <w:rFonts w:hint="eastAsia"/>
                <w:position w:val="0"/>
                <w:szCs w:val="21"/>
                <w:highlight w:val="none"/>
              </w:rPr>
              <w:t>电子邮箱：1377556012@qq.com</w:t>
            </w:r>
          </w:p>
          <w:p>
            <w:pPr>
              <w:tabs>
                <w:tab w:val="center" w:pos="4897"/>
                <w:tab w:val="left" w:pos="7110"/>
              </w:tabs>
              <w:spacing w:line="230" w:lineRule="exact"/>
              <w:rPr>
                <w:position w:val="0"/>
                <w:szCs w:val="21"/>
                <w:highlight w:val="none"/>
              </w:rPr>
            </w:pPr>
            <w:r>
              <w:rPr>
                <w:rFonts w:hint="eastAsia"/>
                <w:position w:val="0"/>
                <w:szCs w:val="21"/>
                <w:highlight w:val="none"/>
              </w:rPr>
              <w:t>网址：</w:t>
            </w:r>
            <w:r>
              <w:rPr>
                <w:highlight w:val="none"/>
              </w:rPr>
              <w:fldChar w:fldCharType="begin"/>
            </w:r>
            <w:r>
              <w:rPr>
                <w:highlight w:val="none"/>
              </w:rPr>
              <w:instrText xml:space="preserve"> HYPERLINK "http://www.chinabrr.com/" </w:instrText>
            </w:r>
            <w:r>
              <w:rPr>
                <w:highlight w:val="none"/>
              </w:rPr>
              <w:fldChar w:fldCharType="separate"/>
            </w:r>
            <w:r>
              <w:rPr>
                <w:rFonts w:hint="eastAsia"/>
                <w:position w:val="0"/>
                <w:szCs w:val="21"/>
                <w:highlight w:val="none"/>
              </w:rPr>
              <w:t>http://www.chinabrr.com/</w:t>
            </w:r>
            <w:r>
              <w:rPr>
                <w:rFonts w:hint="eastAsia"/>
                <w:position w:val="0"/>
                <w:szCs w:val="21"/>
                <w:highlight w:val="none"/>
              </w:rPr>
              <w:fldChar w:fldCharType="end"/>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90" w:hRule="atLeast"/>
          <w:jc w:val="center"/>
        </w:trPr>
        <w:tc>
          <w:tcPr>
            <w:tcW w:w="558" w:type="pct"/>
            <w:tcBorders>
              <w:top w:val="single" w:color="auto" w:sz="4" w:space="0"/>
              <w:bottom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1.1.4</w:t>
            </w:r>
          </w:p>
        </w:tc>
        <w:tc>
          <w:tcPr>
            <w:tcW w:w="1470" w:type="pct"/>
            <w:tcBorders>
              <w:top w:val="single" w:color="auto" w:sz="4" w:space="0"/>
              <w:bottom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项目名称</w:t>
            </w:r>
          </w:p>
        </w:tc>
        <w:tc>
          <w:tcPr>
            <w:tcW w:w="2971" w:type="pct"/>
            <w:vAlign w:val="center"/>
          </w:tcPr>
          <w:p>
            <w:pPr>
              <w:spacing w:line="230" w:lineRule="exact"/>
              <w:rPr>
                <w:rFonts w:hint="eastAsia" w:ascii="宋体" w:hAnsi="宋体" w:eastAsia="宋体"/>
                <w:position w:val="0"/>
                <w:szCs w:val="21"/>
                <w:highlight w:val="none"/>
                <w:lang w:eastAsia="zh-CN"/>
              </w:rPr>
            </w:pPr>
            <w:r>
              <w:rPr>
                <w:rFonts w:hint="eastAsia" w:ascii="宋体" w:hAnsi="宋体"/>
                <w:position w:val="0"/>
                <w:szCs w:val="21"/>
                <w:highlight w:val="none"/>
                <w:lang w:eastAsia="zh-CN"/>
              </w:rPr>
              <w:t>G59新新高速公路新宁分公司水土保持监测及环境监测服务</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tcBorders>
              <w:top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1.1.5</w:t>
            </w:r>
          </w:p>
        </w:tc>
        <w:tc>
          <w:tcPr>
            <w:tcW w:w="1470" w:type="pct"/>
            <w:tcBorders>
              <w:top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建设地点</w:t>
            </w:r>
          </w:p>
        </w:tc>
        <w:tc>
          <w:tcPr>
            <w:tcW w:w="2971" w:type="pct"/>
            <w:vAlign w:val="center"/>
          </w:tcPr>
          <w:p>
            <w:pPr>
              <w:rPr>
                <w:rFonts w:ascii="宋体" w:hAnsi="宋体"/>
                <w:position w:val="0"/>
                <w:szCs w:val="21"/>
                <w:highlight w:val="none"/>
              </w:rPr>
            </w:pPr>
            <w:r>
              <w:rPr>
                <w:rFonts w:hint="eastAsia"/>
                <w:position w:val="0"/>
                <w:szCs w:val="21"/>
                <w:highlight w:val="none"/>
              </w:rPr>
              <w:t>湖南省新宁县</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1.2.1</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资金来源</w:t>
            </w:r>
          </w:p>
        </w:tc>
        <w:tc>
          <w:tcPr>
            <w:tcW w:w="2971" w:type="pct"/>
            <w:vAlign w:val="center"/>
          </w:tcPr>
          <w:p>
            <w:pPr>
              <w:tabs>
                <w:tab w:val="center" w:pos="4897"/>
                <w:tab w:val="left" w:pos="7110"/>
              </w:tabs>
              <w:spacing w:line="230" w:lineRule="exact"/>
              <w:rPr>
                <w:position w:val="0"/>
                <w:szCs w:val="21"/>
                <w:highlight w:val="none"/>
              </w:rPr>
            </w:pPr>
            <w:r>
              <w:rPr>
                <w:rFonts w:hint="eastAsia"/>
                <w:position w:val="0"/>
                <w:szCs w:val="21"/>
                <w:highlight w:val="none"/>
              </w:rPr>
              <w:t>政府补助、建设单位自筹及银行贷款</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1.2.2</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出资比例</w:t>
            </w:r>
          </w:p>
        </w:tc>
        <w:tc>
          <w:tcPr>
            <w:tcW w:w="2971" w:type="pct"/>
            <w:vAlign w:val="center"/>
          </w:tcPr>
          <w:p>
            <w:pPr>
              <w:tabs>
                <w:tab w:val="center" w:pos="4897"/>
                <w:tab w:val="left" w:pos="7110"/>
              </w:tabs>
              <w:spacing w:line="230" w:lineRule="exact"/>
              <w:rPr>
                <w:position w:val="0"/>
                <w:szCs w:val="21"/>
                <w:highlight w:val="none"/>
              </w:rPr>
            </w:pPr>
            <w:r>
              <w:rPr>
                <w:rFonts w:hint="eastAsia"/>
                <w:bCs/>
                <w:position w:val="0"/>
                <w:szCs w:val="21"/>
                <w:highlight w:val="none"/>
              </w:rPr>
              <w:t>/</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1.2.3</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资金落实情况</w:t>
            </w:r>
          </w:p>
        </w:tc>
        <w:tc>
          <w:tcPr>
            <w:tcW w:w="2971" w:type="pct"/>
            <w:vAlign w:val="center"/>
          </w:tcPr>
          <w:p>
            <w:pPr>
              <w:spacing w:line="230" w:lineRule="exact"/>
              <w:rPr>
                <w:rFonts w:ascii="宋体" w:hAnsi="宋体"/>
                <w:position w:val="0"/>
                <w:szCs w:val="21"/>
                <w:highlight w:val="none"/>
              </w:rPr>
            </w:pPr>
            <w:r>
              <w:rPr>
                <w:rFonts w:hint="eastAsia" w:ascii="宋体" w:hAnsi="宋体"/>
                <w:position w:val="0"/>
                <w:szCs w:val="21"/>
                <w:highlight w:val="none"/>
              </w:rPr>
              <w:t>已落实</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30" w:hRule="atLeast"/>
          <w:jc w:val="center"/>
        </w:trPr>
        <w:tc>
          <w:tcPr>
            <w:tcW w:w="558" w:type="pct"/>
            <w:tcBorders>
              <w:bottom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1.3.1</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招标范围</w:t>
            </w:r>
          </w:p>
        </w:tc>
        <w:tc>
          <w:tcPr>
            <w:tcW w:w="2971" w:type="pct"/>
            <w:vAlign w:val="center"/>
          </w:tcPr>
          <w:p>
            <w:pPr>
              <w:spacing w:line="230" w:lineRule="exact"/>
              <w:rPr>
                <w:position w:val="0"/>
                <w:szCs w:val="21"/>
                <w:highlight w:val="none"/>
              </w:rPr>
            </w:pPr>
            <w:r>
              <w:rPr>
                <w:rFonts w:hint="eastAsia"/>
                <w:position w:val="0"/>
                <w:szCs w:val="21"/>
                <w:highlight w:val="none"/>
              </w:rPr>
              <w:t xml:space="preserve">水土保持监测为1标段；环境监测服务为2标段。（1）水土保持监测：在本项目实施过程中，依据相关规程、规范和经湖南省水利厅批准的本项目水土保持方案编制监测实施方案并开展监测工作，在项目建设过程中对项目责任范围的生态环境变化、水土流失现状进行动态监测，形成监测成果定期报送建设单位和当地水行政主管部门，最终的监测专项报告作为监督检查和验收达标的依据之一。提供水土保持工作指导意见，为招标人提供必要的协助，确保水土保持工作通过专项验收。 </w:t>
            </w:r>
          </w:p>
          <w:p>
            <w:pPr>
              <w:spacing w:line="230" w:lineRule="exact"/>
              <w:rPr>
                <w:position w:val="0"/>
                <w:szCs w:val="21"/>
                <w:highlight w:val="none"/>
              </w:rPr>
            </w:pPr>
            <w:r>
              <w:rPr>
                <w:rFonts w:hint="eastAsia"/>
                <w:position w:val="0"/>
                <w:szCs w:val="21"/>
                <w:highlight w:val="none"/>
              </w:rPr>
              <w:t>（2）环境监测：在项目施工期，依照湖南省生态环境厅在对新新高速公路环境影响报告书的批复中要求，严格落实各项环境保护措施，对地表水、噪声以及环境空气影响进行现状监测及调研。</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485" w:hRule="atLeast"/>
          <w:jc w:val="center"/>
        </w:trPr>
        <w:tc>
          <w:tcPr>
            <w:tcW w:w="558" w:type="pct"/>
            <w:tcBorders>
              <w:top w:val="single" w:color="auto" w:sz="4" w:space="0"/>
              <w:bottom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1.3.2</w:t>
            </w:r>
          </w:p>
        </w:tc>
        <w:tc>
          <w:tcPr>
            <w:tcW w:w="1470" w:type="pct"/>
            <w:tcBorders>
              <w:bottom w:val="single" w:color="auto" w:sz="4" w:space="0"/>
            </w:tcBorders>
            <w:vAlign w:val="center"/>
          </w:tcPr>
          <w:p>
            <w:pPr>
              <w:spacing w:line="240" w:lineRule="exact"/>
              <w:jc w:val="center"/>
              <w:rPr>
                <w:rFonts w:ascii="宋体" w:hAnsi="宋体"/>
                <w:position w:val="0"/>
                <w:szCs w:val="21"/>
                <w:highlight w:val="none"/>
              </w:rPr>
            </w:pPr>
            <w:r>
              <w:rPr>
                <w:rFonts w:hint="eastAsia"/>
                <w:position w:val="0"/>
                <w:szCs w:val="21"/>
                <w:highlight w:val="none"/>
              </w:rPr>
              <w:t>服务期</w:t>
            </w:r>
          </w:p>
        </w:tc>
        <w:tc>
          <w:tcPr>
            <w:tcW w:w="2971" w:type="pct"/>
            <w:tcBorders>
              <w:bottom w:val="single" w:color="auto" w:sz="4" w:space="0"/>
            </w:tcBorders>
            <w:vAlign w:val="center"/>
          </w:tcPr>
          <w:p>
            <w:pPr>
              <w:spacing w:line="230" w:lineRule="exact"/>
              <w:rPr>
                <w:rFonts w:hint="eastAsia" w:ascii="宋体" w:hAnsi="宋体" w:eastAsia="宋体"/>
                <w:position w:val="0"/>
                <w:szCs w:val="21"/>
                <w:highlight w:val="none"/>
                <w:lang w:eastAsia="zh-CN"/>
              </w:rPr>
            </w:pPr>
            <w:r>
              <w:rPr>
                <w:rFonts w:hint="eastAsia" w:ascii="宋体" w:hAnsi="宋体"/>
                <w:position w:val="0"/>
                <w:szCs w:val="21"/>
                <w:highlight w:val="none"/>
              </w:rPr>
              <w:t>水土保持监测时段为5年，包括建设期4年及自然恢复期1年。环境监测时段为3年（至2</w:t>
            </w:r>
            <w:r>
              <w:rPr>
                <w:rFonts w:ascii="宋体" w:hAnsi="宋体"/>
                <w:position w:val="0"/>
                <w:szCs w:val="21"/>
                <w:highlight w:val="none"/>
              </w:rPr>
              <w:t>025</w:t>
            </w:r>
            <w:r>
              <w:rPr>
                <w:rFonts w:hint="eastAsia" w:ascii="宋体" w:hAnsi="宋体"/>
                <w:position w:val="0"/>
                <w:szCs w:val="21"/>
                <w:highlight w:val="none"/>
              </w:rPr>
              <w:t>年1</w:t>
            </w:r>
            <w:r>
              <w:rPr>
                <w:rFonts w:ascii="宋体" w:hAnsi="宋体"/>
                <w:position w:val="0"/>
                <w:szCs w:val="21"/>
                <w:highlight w:val="none"/>
              </w:rPr>
              <w:t>2</w:t>
            </w:r>
            <w:r>
              <w:rPr>
                <w:rFonts w:hint="eastAsia" w:ascii="宋体" w:hAnsi="宋体"/>
                <w:position w:val="0"/>
                <w:szCs w:val="21"/>
                <w:highlight w:val="none"/>
              </w:rPr>
              <w:t>月3</w:t>
            </w:r>
            <w:r>
              <w:rPr>
                <w:rFonts w:ascii="宋体" w:hAnsi="宋体"/>
                <w:position w:val="0"/>
                <w:szCs w:val="21"/>
                <w:highlight w:val="none"/>
              </w:rPr>
              <w:t>1</w:t>
            </w:r>
            <w:r>
              <w:rPr>
                <w:rFonts w:hint="eastAsia" w:ascii="宋体" w:hAnsi="宋体"/>
                <w:position w:val="0"/>
                <w:szCs w:val="21"/>
                <w:highlight w:val="none"/>
              </w:rPr>
              <w:t>日）</w:t>
            </w:r>
            <w:r>
              <w:rPr>
                <w:rFonts w:hint="eastAsia" w:ascii="宋体" w:hAnsi="宋体"/>
                <w:position w:val="0"/>
                <w:szCs w:val="21"/>
                <w:highlight w:val="none"/>
                <w:lang w:eastAsia="zh-CN"/>
              </w:rPr>
              <w:t>。</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605" w:hRule="atLeast"/>
          <w:jc w:val="center"/>
        </w:trPr>
        <w:tc>
          <w:tcPr>
            <w:tcW w:w="558" w:type="pct"/>
            <w:tcBorders>
              <w:top w:val="single" w:color="auto" w:sz="4" w:space="0"/>
            </w:tcBorders>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1.3.3</w:t>
            </w:r>
          </w:p>
        </w:tc>
        <w:tc>
          <w:tcPr>
            <w:tcW w:w="1470" w:type="pct"/>
            <w:tcBorders>
              <w:top w:val="single" w:color="auto" w:sz="4" w:space="0"/>
            </w:tcBorders>
            <w:vAlign w:val="center"/>
          </w:tcPr>
          <w:p>
            <w:pPr>
              <w:spacing w:line="240" w:lineRule="exact"/>
              <w:jc w:val="center"/>
              <w:rPr>
                <w:position w:val="0"/>
                <w:szCs w:val="21"/>
                <w:highlight w:val="none"/>
              </w:rPr>
            </w:pPr>
            <w:r>
              <w:rPr>
                <w:rFonts w:hint="eastAsia"/>
                <w:position w:val="0"/>
                <w:szCs w:val="21"/>
                <w:highlight w:val="none"/>
              </w:rPr>
              <w:t>质量要求</w:t>
            </w:r>
          </w:p>
        </w:tc>
        <w:tc>
          <w:tcPr>
            <w:tcW w:w="2971" w:type="pct"/>
            <w:tcBorders>
              <w:top w:val="single" w:color="auto" w:sz="4" w:space="0"/>
            </w:tcBorders>
            <w:vAlign w:val="center"/>
          </w:tcPr>
          <w:p>
            <w:pPr>
              <w:spacing w:line="230" w:lineRule="exact"/>
              <w:rPr>
                <w:rFonts w:ascii="宋体" w:hAnsi="宋体"/>
                <w:position w:val="0"/>
                <w:szCs w:val="21"/>
                <w:highlight w:val="none"/>
              </w:rPr>
            </w:pPr>
            <w:r>
              <w:rPr>
                <w:rFonts w:hint="eastAsia" w:ascii="宋体" w:hAnsi="宋体"/>
                <w:position w:val="0"/>
                <w:szCs w:val="21"/>
                <w:highlight w:val="none"/>
              </w:rPr>
              <w:t>水土保持监测：符合《生产建设项目水土保持监测规程（试行）》（办水保[2015]139 号）、《水利部关于加强事中事后监管规范生产建设项目水土保持设施自主验收的通知》（水保〔2017〕365 号）等政策要求。</w:t>
            </w:r>
          </w:p>
          <w:p>
            <w:pPr>
              <w:spacing w:line="230" w:lineRule="exact"/>
              <w:rPr>
                <w:rFonts w:ascii="宋体" w:hAnsi="宋体"/>
                <w:position w:val="0"/>
                <w:szCs w:val="21"/>
                <w:highlight w:val="none"/>
              </w:rPr>
            </w:pPr>
            <w:r>
              <w:rPr>
                <w:rFonts w:hint="eastAsia" w:ascii="宋体" w:hAnsi="宋体"/>
                <w:position w:val="0"/>
                <w:szCs w:val="21"/>
                <w:highlight w:val="none"/>
              </w:rPr>
              <w:t xml:space="preserve">环境监测：必须满足阶段环境保护验收和项目竣工的环境保护验收的要求。 </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635"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1.4.1</w:t>
            </w:r>
          </w:p>
        </w:tc>
        <w:tc>
          <w:tcPr>
            <w:tcW w:w="1470" w:type="pct"/>
            <w:vAlign w:val="center"/>
          </w:tcPr>
          <w:p>
            <w:pPr>
              <w:spacing w:line="240" w:lineRule="exact"/>
              <w:jc w:val="center"/>
              <w:rPr>
                <w:position w:val="0"/>
                <w:szCs w:val="21"/>
                <w:highlight w:val="none"/>
              </w:rPr>
            </w:pPr>
            <w:r>
              <w:rPr>
                <w:rFonts w:hint="eastAsia"/>
                <w:position w:val="0"/>
                <w:szCs w:val="21"/>
                <w:highlight w:val="none"/>
              </w:rPr>
              <w:t>投标人的资格条件、能力和信誉</w:t>
            </w:r>
          </w:p>
        </w:tc>
        <w:tc>
          <w:tcPr>
            <w:tcW w:w="2971" w:type="pct"/>
            <w:vAlign w:val="center"/>
          </w:tcPr>
          <w:p>
            <w:pPr>
              <w:spacing w:line="230" w:lineRule="exact"/>
              <w:jc w:val="left"/>
              <w:rPr>
                <w:rFonts w:ascii="宋体" w:hAnsi="宋体"/>
                <w:position w:val="0"/>
                <w:szCs w:val="21"/>
                <w:highlight w:val="none"/>
              </w:rPr>
            </w:pPr>
            <w:r>
              <w:rPr>
                <w:rFonts w:hint="eastAsia" w:ascii="宋体" w:hAnsi="宋体"/>
                <w:position w:val="0"/>
                <w:szCs w:val="21"/>
                <w:highlight w:val="none"/>
              </w:rPr>
              <w:t>资质条件：见附录1</w:t>
            </w:r>
          </w:p>
          <w:p>
            <w:pPr>
              <w:spacing w:line="230" w:lineRule="exact"/>
              <w:jc w:val="left"/>
              <w:rPr>
                <w:rFonts w:ascii="宋体" w:hAnsi="宋体"/>
                <w:position w:val="0"/>
                <w:szCs w:val="21"/>
                <w:highlight w:val="none"/>
              </w:rPr>
            </w:pPr>
            <w:r>
              <w:rPr>
                <w:rFonts w:hint="eastAsia" w:ascii="宋体" w:hAnsi="宋体"/>
                <w:position w:val="0"/>
                <w:szCs w:val="21"/>
                <w:highlight w:val="none"/>
              </w:rPr>
              <w:t>业绩条件：见附录2</w:t>
            </w:r>
          </w:p>
          <w:p>
            <w:pPr>
              <w:spacing w:line="230" w:lineRule="exact"/>
              <w:jc w:val="left"/>
              <w:rPr>
                <w:rFonts w:ascii="宋体" w:hAnsi="宋体"/>
                <w:position w:val="0"/>
                <w:szCs w:val="21"/>
                <w:highlight w:val="none"/>
              </w:rPr>
            </w:pPr>
            <w:r>
              <w:rPr>
                <w:rFonts w:hint="eastAsia" w:ascii="宋体" w:hAnsi="宋体"/>
                <w:position w:val="0"/>
                <w:szCs w:val="21"/>
                <w:highlight w:val="none"/>
              </w:rPr>
              <w:t>信誉条件：见附录3</w:t>
            </w:r>
          </w:p>
          <w:p>
            <w:pPr>
              <w:spacing w:line="230" w:lineRule="exact"/>
              <w:jc w:val="left"/>
              <w:rPr>
                <w:rFonts w:ascii="宋体" w:hAnsi="宋体"/>
                <w:position w:val="0"/>
                <w:szCs w:val="21"/>
                <w:highlight w:val="none"/>
              </w:rPr>
            </w:pPr>
            <w:r>
              <w:rPr>
                <w:rFonts w:hint="eastAsia" w:ascii="宋体" w:hAnsi="宋体"/>
                <w:position w:val="0"/>
                <w:szCs w:val="21"/>
                <w:highlight w:val="none"/>
              </w:rPr>
              <w:t>项目负责人：见附录4</w:t>
            </w:r>
          </w:p>
          <w:p>
            <w:pPr>
              <w:spacing w:line="230" w:lineRule="exact"/>
              <w:jc w:val="left"/>
              <w:rPr>
                <w:rFonts w:ascii="宋体" w:hAnsi="宋体"/>
                <w:position w:val="0"/>
                <w:szCs w:val="21"/>
                <w:highlight w:val="none"/>
              </w:rPr>
            </w:pPr>
            <w:r>
              <w:rPr>
                <w:rFonts w:hint="eastAsia" w:ascii="宋体" w:hAnsi="宋体"/>
                <w:position w:val="0"/>
                <w:szCs w:val="21"/>
                <w:highlight w:val="none"/>
              </w:rPr>
              <w:t>其他人员资格：见附录5</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1.4.2</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是否接受联合体投标</w:t>
            </w:r>
          </w:p>
        </w:tc>
        <w:tc>
          <w:tcPr>
            <w:tcW w:w="2971" w:type="pct"/>
            <w:vAlign w:val="center"/>
          </w:tcPr>
          <w:p>
            <w:pPr>
              <w:snapToGrid w:val="0"/>
              <w:spacing w:line="230" w:lineRule="exact"/>
              <w:ind w:left="-8" w:leftChars="-4"/>
              <w:rPr>
                <w:rFonts w:ascii="宋体" w:hAnsi="宋体"/>
                <w:b/>
                <w:bCs/>
                <w:position w:val="0"/>
                <w:sz w:val="24"/>
                <w:highlight w:val="none"/>
                <w:u w:val="single"/>
              </w:rPr>
            </w:pPr>
            <w:r>
              <w:rPr>
                <w:rFonts w:hint="eastAsia" w:ascii="宋体" w:hAnsi="宋体"/>
                <w:position w:val="0"/>
                <w:szCs w:val="21"/>
                <w:highlight w:val="none"/>
              </w:rPr>
              <w:t>不接受</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ascii="宋体" w:hAnsi="宋体"/>
                <w:position w:val="0"/>
                <w:szCs w:val="21"/>
                <w:highlight w:val="none"/>
              </w:rPr>
              <w:t>1.</w:t>
            </w:r>
            <w:r>
              <w:rPr>
                <w:rFonts w:hint="eastAsia" w:ascii="宋体" w:hAnsi="宋体"/>
                <w:position w:val="0"/>
                <w:szCs w:val="21"/>
                <w:highlight w:val="none"/>
              </w:rPr>
              <w:t>9.1</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踏勘现场</w:t>
            </w:r>
          </w:p>
        </w:tc>
        <w:tc>
          <w:tcPr>
            <w:tcW w:w="2971" w:type="pct"/>
            <w:vAlign w:val="center"/>
          </w:tcPr>
          <w:p>
            <w:pPr>
              <w:spacing w:line="230" w:lineRule="exact"/>
              <w:rPr>
                <w:rFonts w:ascii="宋体" w:hAnsi="宋体"/>
                <w:position w:val="0"/>
                <w:szCs w:val="21"/>
                <w:highlight w:val="none"/>
              </w:rPr>
            </w:pPr>
            <w:r>
              <w:rPr>
                <w:rFonts w:hint="eastAsia" w:ascii="宋体" w:hAnsi="宋体"/>
                <w:position w:val="0"/>
                <w:szCs w:val="21"/>
                <w:highlight w:val="none"/>
              </w:rPr>
              <w:t>不组织</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1.10.1</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投标预备会</w:t>
            </w:r>
          </w:p>
        </w:tc>
        <w:tc>
          <w:tcPr>
            <w:tcW w:w="2971" w:type="pct"/>
            <w:vAlign w:val="center"/>
          </w:tcPr>
          <w:p>
            <w:pPr>
              <w:spacing w:line="230" w:lineRule="exact"/>
              <w:rPr>
                <w:rFonts w:ascii="宋体" w:hAnsi="宋体"/>
                <w:position w:val="0"/>
                <w:szCs w:val="21"/>
                <w:highlight w:val="none"/>
              </w:rPr>
            </w:pPr>
            <w:r>
              <w:rPr>
                <w:rFonts w:hint="eastAsia" w:ascii="宋体" w:hAnsi="宋体"/>
                <w:position w:val="0"/>
                <w:szCs w:val="21"/>
                <w:highlight w:val="none"/>
              </w:rPr>
              <w:t>不召开</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85"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1.10.2</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投标人提出问题的截止时间</w:t>
            </w:r>
          </w:p>
        </w:tc>
        <w:tc>
          <w:tcPr>
            <w:tcW w:w="2971" w:type="pct"/>
            <w:vAlign w:val="center"/>
          </w:tcPr>
          <w:p>
            <w:pPr>
              <w:spacing w:line="230" w:lineRule="exact"/>
              <w:jc w:val="left"/>
              <w:rPr>
                <w:rFonts w:ascii="宋体" w:hAnsi="宋体"/>
                <w:position w:val="0"/>
                <w:szCs w:val="21"/>
                <w:highlight w:val="none"/>
              </w:rPr>
            </w:pPr>
            <w:r>
              <w:rPr>
                <w:rFonts w:hint="eastAsia" w:ascii="宋体" w:hAnsi="宋体"/>
                <w:position w:val="0"/>
                <w:szCs w:val="21"/>
                <w:highlight w:val="none"/>
              </w:rPr>
              <w:t>由于不召开投标预备会，投标人提出问题的截止时间为递交投标文件截止之日</w:t>
            </w:r>
            <w:r>
              <w:rPr>
                <w:rFonts w:hint="eastAsia" w:ascii="宋体" w:hAnsi="宋体"/>
                <w:position w:val="0"/>
                <w:szCs w:val="21"/>
                <w:highlight w:val="none"/>
                <w:u w:val="single"/>
              </w:rPr>
              <w:t>16</w:t>
            </w:r>
            <w:r>
              <w:rPr>
                <w:rFonts w:hint="eastAsia" w:ascii="宋体" w:hAnsi="宋体"/>
                <w:position w:val="0"/>
                <w:szCs w:val="21"/>
                <w:highlight w:val="none"/>
              </w:rPr>
              <w:t>天前</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1.10.3</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招标人书面澄清的时间</w:t>
            </w:r>
          </w:p>
        </w:tc>
        <w:tc>
          <w:tcPr>
            <w:tcW w:w="2971" w:type="pct"/>
            <w:vAlign w:val="center"/>
          </w:tcPr>
          <w:p>
            <w:pPr>
              <w:spacing w:line="230" w:lineRule="exact"/>
              <w:jc w:val="left"/>
              <w:rPr>
                <w:rFonts w:ascii="宋体" w:hAnsi="宋体"/>
                <w:position w:val="0"/>
                <w:szCs w:val="21"/>
                <w:highlight w:val="none"/>
              </w:rPr>
            </w:pPr>
            <w:r>
              <w:rPr>
                <w:rFonts w:hint="eastAsia" w:ascii="宋体" w:hAnsi="宋体"/>
                <w:position w:val="0"/>
                <w:szCs w:val="21"/>
                <w:highlight w:val="none"/>
              </w:rPr>
              <w:t>递交投标文件截止时间</w:t>
            </w:r>
            <w:r>
              <w:rPr>
                <w:rFonts w:hint="eastAsia" w:ascii="宋体" w:hAnsi="宋体"/>
                <w:position w:val="0"/>
                <w:szCs w:val="21"/>
                <w:highlight w:val="none"/>
                <w:u w:val="single"/>
              </w:rPr>
              <w:t>15</w:t>
            </w:r>
            <w:r>
              <w:rPr>
                <w:rFonts w:hint="eastAsia" w:ascii="宋体" w:hAnsi="宋体"/>
                <w:position w:val="0"/>
                <w:szCs w:val="21"/>
                <w:highlight w:val="none"/>
              </w:rPr>
              <w:t>天前</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1</w:t>
            </w:r>
            <w:r>
              <w:rPr>
                <w:rFonts w:ascii="宋体" w:hAnsi="宋体"/>
                <w:position w:val="0"/>
                <w:szCs w:val="21"/>
                <w:highlight w:val="none"/>
              </w:rPr>
              <w:t>.11.2</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分包</w:t>
            </w:r>
          </w:p>
        </w:tc>
        <w:tc>
          <w:tcPr>
            <w:tcW w:w="2971" w:type="pct"/>
            <w:vAlign w:val="center"/>
          </w:tcPr>
          <w:p>
            <w:pPr>
              <w:spacing w:line="230" w:lineRule="exact"/>
              <w:rPr>
                <w:rFonts w:ascii="宋体" w:hAnsi="宋体"/>
                <w:position w:val="0"/>
                <w:szCs w:val="21"/>
                <w:highlight w:val="none"/>
              </w:rPr>
            </w:pPr>
            <w:r>
              <w:rPr>
                <w:rFonts w:hint="eastAsia" w:ascii="宋体" w:hAnsi="宋体"/>
                <w:position w:val="0"/>
                <w:szCs w:val="21"/>
                <w:highlight w:val="none"/>
              </w:rPr>
              <w:t>不允许</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70" w:hRule="atLeast"/>
          <w:jc w:val="center"/>
        </w:trPr>
        <w:tc>
          <w:tcPr>
            <w:tcW w:w="558" w:type="pct"/>
            <w:vAlign w:val="center"/>
          </w:tcPr>
          <w:p>
            <w:pPr>
              <w:spacing w:line="240" w:lineRule="exact"/>
              <w:jc w:val="center"/>
              <w:rPr>
                <w:rFonts w:ascii="宋体" w:hAnsi="宋体"/>
                <w:position w:val="0"/>
                <w:szCs w:val="21"/>
                <w:highlight w:val="none"/>
              </w:rPr>
            </w:pPr>
            <w:r>
              <w:rPr>
                <w:rFonts w:ascii="宋体" w:hAnsi="宋体"/>
                <w:position w:val="0"/>
                <w:szCs w:val="21"/>
                <w:highlight w:val="none"/>
              </w:rPr>
              <w:t>1.</w:t>
            </w:r>
            <w:r>
              <w:rPr>
                <w:rFonts w:hint="eastAsia" w:ascii="宋体" w:hAnsi="宋体"/>
                <w:position w:val="0"/>
                <w:szCs w:val="21"/>
                <w:highlight w:val="none"/>
              </w:rPr>
              <w:t>12</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偏离</w:t>
            </w:r>
          </w:p>
        </w:tc>
        <w:tc>
          <w:tcPr>
            <w:tcW w:w="2971" w:type="pct"/>
            <w:vAlign w:val="center"/>
          </w:tcPr>
          <w:p>
            <w:pPr>
              <w:rPr>
                <w:rFonts w:ascii="宋体" w:hAnsi="宋体"/>
                <w:position w:val="0"/>
                <w:szCs w:val="21"/>
                <w:highlight w:val="none"/>
              </w:rPr>
            </w:pPr>
            <w:r>
              <w:rPr>
                <w:rFonts w:hint="eastAsia" w:ascii="宋体" w:hAnsi="宋体"/>
                <w:position w:val="0"/>
                <w:szCs w:val="21"/>
                <w:highlight w:val="none"/>
              </w:rPr>
              <w:t>偏离即偏差，偏差分重大偏差和细微偏差，重大偏差不允许、细微偏差允许。</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2.1</w:t>
            </w:r>
          </w:p>
        </w:tc>
        <w:tc>
          <w:tcPr>
            <w:tcW w:w="1470"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构成招标文件的其他材料</w:t>
            </w:r>
          </w:p>
        </w:tc>
        <w:tc>
          <w:tcPr>
            <w:tcW w:w="2971" w:type="pct"/>
            <w:vAlign w:val="center"/>
          </w:tcPr>
          <w:p>
            <w:pPr>
              <w:spacing w:line="230" w:lineRule="exact"/>
              <w:rPr>
                <w:rFonts w:ascii="宋体" w:hAnsi="宋体"/>
                <w:position w:val="0"/>
                <w:szCs w:val="21"/>
                <w:highlight w:val="none"/>
              </w:rPr>
            </w:pPr>
            <w:r>
              <w:rPr>
                <w:rFonts w:hint="eastAsia" w:ascii="宋体" w:hAnsi="宋体"/>
                <w:position w:val="0"/>
                <w:szCs w:val="21"/>
                <w:highlight w:val="none"/>
              </w:rPr>
              <w:t>招标人以公告形式发出的答疑书、补遗书或通知等</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Merge w:val="restar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2.2.1</w:t>
            </w:r>
          </w:p>
        </w:tc>
        <w:tc>
          <w:tcPr>
            <w:tcW w:w="1470" w:type="pct"/>
            <w:vMerge w:val="restar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投标人要求澄清招标文件</w:t>
            </w:r>
          </w:p>
        </w:tc>
        <w:tc>
          <w:tcPr>
            <w:tcW w:w="2971" w:type="pct"/>
            <w:vAlign w:val="center"/>
          </w:tcPr>
          <w:p>
            <w:pPr>
              <w:spacing w:line="230" w:lineRule="exact"/>
              <w:rPr>
                <w:rFonts w:ascii="宋体" w:hAnsi="宋体"/>
                <w:position w:val="0"/>
                <w:szCs w:val="21"/>
                <w:highlight w:val="none"/>
              </w:rPr>
            </w:pPr>
            <w:r>
              <w:rPr>
                <w:rFonts w:hint="eastAsia" w:ascii="宋体" w:hAnsi="宋体"/>
                <w:position w:val="0"/>
                <w:szCs w:val="21"/>
                <w:highlight w:val="none"/>
              </w:rPr>
              <w:t>投标截止时间前15天</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558" w:type="pct"/>
            <w:vMerge w:val="continue"/>
            <w:vAlign w:val="center"/>
          </w:tcPr>
          <w:p>
            <w:pPr>
              <w:spacing w:line="240" w:lineRule="exact"/>
              <w:jc w:val="center"/>
              <w:rPr>
                <w:rFonts w:ascii="宋体" w:hAnsi="宋体"/>
                <w:position w:val="0"/>
                <w:szCs w:val="21"/>
                <w:highlight w:val="none"/>
              </w:rPr>
            </w:pPr>
          </w:p>
        </w:tc>
        <w:tc>
          <w:tcPr>
            <w:tcW w:w="1470" w:type="pct"/>
            <w:vMerge w:val="continue"/>
            <w:vAlign w:val="center"/>
          </w:tcPr>
          <w:p>
            <w:pPr>
              <w:spacing w:line="240" w:lineRule="exact"/>
              <w:jc w:val="center"/>
              <w:rPr>
                <w:rFonts w:ascii="宋体" w:hAnsi="宋体"/>
                <w:position w:val="0"/>
                <w:szCs w:val="21"/>
                <w:highlight w:val="none"/>
              </w:rPr>
            </w:pPr>
          </w:p>
        </w:tc>
        <w:tc>
          <w:tcPr>
            <w:tcW w:w="2971" w:type="pct"/>
            <w:vAlign w:val="center"/>
          </w:tcPr>
          <w:p>
            <w:pPr>
              <w:spacing w:line="230" w:lineRule="exact"/>
              <w:rPr>
                <w:rFonts w:ascii="宋体" w:hAnsi="宋体"/>
                <w:position w:val="0"/>
                <w:szCs w:val="21"/>
                <w:highlight w:val="none"/>
              </w:rPr>
            </w:pPr>
            <w:r>
              <w:rPr>
                <w:rFonts w:hint="eastAsia" w:ascii="宋体" w:hAnsi="宋体"/>
                <w:position w:val="0"/>
                <w:szCs w:val="21"/>
                <w:highlight w:val="none"/>
              </w:rPr>
              <w:t>形式：以书面形式发送到招标公告指定邮箱。</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58" w:type="pct"/>
            <w:vAlign w:val="center"/>
          </w:tcPr>
          <w:p>
            <w:pPr>
              <w:spacing w:line="240" w:lineRule="exact"/>
              <w:jc w:val="center"/>
              <w:rPr>
                <w:rFonts w:ascii="黑体" w:hAnsi="宋体" w:eastAsia="黑体"/>
                <w:position w:val="0"/>
                <w:sz w:val="24"/>
                <w:szCs w:val="24"/>
                <w:highlight w:val="none"/>
              </w:rPr>
            </w:pPr>
            <w:r>
              <w:rPr>
                <w:rFonts w:hint="eastAsia" w:ascii="宋体" w:hAnsi="宋体"/>
                <w:position w:val="0"/>
                <w:szCs w:val="21"/>
                <w:highlight w:val="none"/>
              </w:rPr>
              <w:t>2.2.2</w:t>
            </w:r>
          </w:p>
        </w:tc>
        <w:tc>
          <w:tcPr>
            <w:tcW w:w="1470" w:type="pct"/>
            <w:vAlign w:val="center"/>
          </w:tcPr>
          <w:p>
            <w:pPr>
              <w:spacing w:line="240" w:lineRule="exact"/>
              <w:jc w:val="left"/>
              <w:rPr>
                <w:rFonts w:ascii="黑体" w:hAnsi="宋体" w:eastAsia="黑体"/>
                <w:position w:val="0"/>
                <w:sz w:val="24"/>
                <w:szCs w:val="24"/>
                <w:highlight w:val="none"/>
              </w:rPr>
            </w:pPr>
            <w:r>
              <w:rPr>
                <w:rFonts w:hint="eastAsia" w:ascii="宋体" w:hAnsi="宋体"/>
                <w:position w:val="0"/>
                <w:szCs w:val="21"/>
                <w:highlight w:val="none"/>
              </w:rPr>
              <w:t>招标文件澄清发出形式</w:t>
            </w:r>
          </w:p>
        </w:tc>
        <w:tc>
          <w:tcPr>
            <w:tcW w:w="2971" w:type="pct"/>
            <w:vAlign w:val="center"/>
          </w:tcPr>
          <w:p>
            <w:pPr>
              <w:spacing w:line="360" w:lineRule="auto"/>
              <w:rPr>
                <w:rFonts w:ascii="黑体" w:hAnsi="宋体" w:eastAsia="黑体"/>
                <w:position w:val="0"/>
                <w:sz w:val="24"/>
                <w:szCs w:val="24"/>
                <w:highlight w:val="none"/>
              </w:rPr>
            </w:pPr>
            <w:r>
              <w:rPr>
                <w:rFonts w:hint="eastAsia" w:ascii="宋体" w:hAnsi="宋体"/>
                <w:position w:val="0"/>
                <w:szCs w:val="21"/>
                <w:highlight w:val="none"/>
              </w:rPr>
              <w:t>招标人对招标文件的澄清通过招标公告指定媒介以招标文件补遗书的形式发给所有成功报名的投标人。投标人应注意及时浏览网上发出的招标文件补遗书，因投标人自身原因未及时获知补遗内容而导致的任何后果将由投标人自行承担。</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2.2.3</w:t>
            </w:r>
          </w:p>
        </w:tc>
        <w:tc>
          <w:tcPr>
            <w:tcW w:w="1470" w:type="pct"/>
            <w:vAlign w:val="center"/>
          </w:tcPr>
          <w:p>
            <w:pPr>
              <w:spacing w:line="240" w:lineRule="exact"/>
              <w:jc w:val="left"/>
              <w:rPr>
                <w:rFonts w:ascii="宋体" w:hAnsi="宋体"/>
                <w:position w:val="0"/>
                <w:szCs w:val="21"/>
                <w:highlight w:val="none"/>
              </w:rPr>
            </w:pPr>
            <w:r>
              <w:rPr>
                <w:rFonts w:hint="eastAsia" w:ascii="宋体" w:hAnsi="宋体"/>
                <w:position w:val="0"/>
                <w:szCs w:val="21"/>
                <w:highlight w:val="none"/>
              </w:rPr>
              <w:t>投标人确认收到招标文件澄清</w:t>
            </w:r>
          </w:p>
        </w:tc>
        <w:tc>
          <w:tcPr>
            <w:tcW w:w="2971" w:type="pct"/>
            <w:vAlign w:val="center"/>
          </w:tcPr>
          <w:p>
            <w:pPr>
              <w:spacing w:line="360" w:lineRule="auto"/>
              <w:rPr>
                <w:rFonts w:ascii="宋体" w:hAnsi="宋体"/>
                <w:position w:val="0"/>
                <w:szCs w:val="21"/>
                <w:highlight w:val="none"/>
              </w:rPr>
            </w:pPr>
            <w:r>
              <w:rPr>
                <w:rFonts w:hint="eastAsia" w:ascii="宋体" w:hAnsi="宋体"/>
                <w:position w:val="0"/>
                <w:szCs w:val="21"/>
                <w:highlight w:val="none"/>
              </w:rPr>
              <w:t>形式：招标文件补遗书一经发出均视为投标人已收到招标文件补遗书。</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2.3.1</w:t>
            </w:r>
          </w:p>
        </w:tc>
        <w:tc>
          <w:tcPr>
            <w:tcW w:w="1470" w:type="pct"/>
            <w:vAlign w:val="center"/>
          </w:tcPr>
          <w:p>
            <w:pPr>
              <w:spacing w:line="240" w:lineRule="exact"/>
              <w:jc w:val="left"/>
              <w:rPr>
                <w:rFonts w:ascii="宋体" w:hAnsi="宋体"/>
                <w:position w:val="0"/>
                <w:szCs w:val="21"/>
                <w:highlight w:val="none"/>
              </w:rPr>
            </w:pPr>
            <w:r>
              <w:rPr>
                <w:rFonts w:hint="eastAsia" w:ascii="宋体" w:hAnsi="宋体"/>
                <w:position w:val="0"/>
                <w:szCs w:val="21"/>
                <w:highlight w:val="none"/>
              </w:rPr>
              <w:t>招标文件修改发出形式</w:t>
            </w:r>
          </w:p>
        </w:tc>
        <w:tc>
          <w:tcPr>
            <w:tcW w:w="2971" w:type="pct"/>
            <w:vAlign w:val="center"/>
          </w:tcPr>
          <w:p>
            <w:pPr>
              <w:spacing w:line="360" w:lineRule="auto"/>
              <w:rPr>
                <w:rFonts w:ascii="宋体" w:hAnsi="宋体"/>
                <w:position w:val="0"/>
                <w:szCs w:val="21"/>
                <w:highlight w:val="none"/>
              </w:rPr>
            </w:pPr>
            <w:r>
              <w:rPr>
                <w:rFonts w:hint="eastAsia" w:ascii="宋体" w:hAnsi="宋体"/>
                <w:position w:val="0"/>
                <w:szCs w:val="21"/>
                <w:highlight w:val="none"/>
              </w:rPr>
              <w:t>招标人可以公告形式修改招标文件，招标人对招标文件的修改通过招标公告指定媒介以招标文件补遗书的形式发给所有潜在投标人。投标人应注意及时浏览网上发出的招标文件补遗书，因投标人自身原因未及时获知补遗内容而导致的任何后果将由投标人自行承担。</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2.3.2</w:t>
            </w:r>
          </w:p>
        </w:tc>
        <w:tc>
          <w:tcPr>
            <w:tcW w:w="1470" w:type="pct"/>
            <w:vAlign w:val="center"/>
          </w:tcPr>
          <w:p>
            <w:pPr>
              <w:spacing w:line="240" w:lineRule="exact"/>
              <w:jc w:val="left"/>
              <w:rPr>
                <w:rFonts w:ascii="宋体" w:hAnsi="宋体"/>
                <w:position w:val="0"/>
                <w:szCs w:val="21"/>
                <w:highlight w:val="none"/>
              </w:rPr>
            </w:pPr>
            <w:r>
              <w:rPr>
                <w:rFonts w:hint="eastAsia" w:ascii="宋体" w:hAnsi="宋体"/>
                <w:position w:val="0"/>
                <w:szCs w:val="21"/>
                <w:highlight w:val="none"/>
              </w:rPr>
              <w:t>投标人确认收到招标文件修改</w:t>
            </w:r>
          </w:p>
        </w:tc>
        <w:tc>
          <w:tcPr>
            <w:tcW w:w="2971" w:type="pct"/>
            <w:vAlign w:val="center"/>
          </w:tcPr>
          <w:p>
            <w:pPr>
              <w:spacing w:line="360" w:lineRule="auto"/>
              <w:rPr>
                <w:rFonts w:ascii="宋体" w:hAnsi="宋体"/>
                <w:position w:val="0"/>
                <w:szCs w:val="21"/>
                <w:highlight w:val="none"/>
              </w:rPr>
            </w:pPr>
            <w:r>
              <w:rPr>
                <w:rFonts w:hint="eastAsia" w:ascii="宋体" w:hAnsi="宋体"/>
                <w:position w:val="0"/>
                <w:szCs w:val="21"/>
                <w:highlight w:val="none"/>
              </w:rPr>
              <w:t>形式：招标文件补遗书一经发出均视为投标人已收到招标文件补遗书。</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15"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3.1</w:t>
            </w:r>
          </w:p>
        </w:tc>
        <w:tc>
          <w:tcPr>
            <w:tcW w:w="1470" w:type="pct"/>
            <w:vAlign w:val="center"/>
          </w:tcPr>
          <w:p>
            <w:pPr>
              <w:spacing w:line="240" w:lineRule="exact"/>
              <w:jc w:val="left"/>
              <w:rPr>
                <w:rFonts w:ascii="宋体" w:hAnsi="宋体"/>
                <w:position w:val="0"/>
                <w:szCs w:val="21"/>
                <w:highlight w:val="none"/>
              </w:rPr>
            </w:pPr>
            <w:r>
              <w:rPr>
                <w:rFonts w:hint="eastAsia" w:ascii="宋体" w:hAnsi="宋体"/>
                <w:position w:val="0"/>
                <w:szCs w:val="21"/>
                <w:highlight w:val="none"/>
              </w:rPr>
              <w:t>构成投标文件的其他材料</w:t>
            </w:r>
          </w:p>
        </w:tc>
        <w:tc>
          <w:tcPr>
            <w:tcW w:w="2971" w:type="pct"/>
            <w:vAlign w:val="center"/>
          </w:tcPr>
          <w:p>
            <w:pPr>
              <w:spacing w:line="360" w:lineRule="auto"/>
              <w:jc w:val="left"/>
              <w:rPr>
                <w:rFonts w:ascii="宋体" w:hAnsi="宋体"/>
                <w:position w:val="0"/>
                <w:szCs w:val="21"/>
                <w:highlight w:val="none"/>
              </w:rPr>
            </w:pPr>
            <w:r>
              <w:rPr>
                <w:rFonts w:hint="eastAsia" w:ascii="宋体" w:hAnsi="宋体"/>
                <w:position w:val="0"/>
                <w:szCs w:val="21"/>
                <w:highlight w:val="none"/>
              </w:rPr>
              <w:t>澄清或补遗书（如有）</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30" w:hRule="atLeast"/>
          <w:jc w:val="center"/>
        </w:trPr>
        <w:tc>
          <w:tcPr>
            <w:tcW w:w="558" w:type="pct"/>
            <w:vAlign w:val="center"/>
          </w:tcPr>
          <w:p>
            <w:pPr>
              <w:spacing w:line="240" w:lineRule="exact"/>
              <w:jc w:val="center"/>
              <w:rPr>
                <w:rFonts w:ascii="宋体" w:hAnsi="宋体"/>
                <w:position w:val="0"/>
                <w:szCs w:val="21"/>
                <w:highlight w:val="none"/>
              </w:rPr>
            </w:pPr>
            <w:r>
              <w:rPr>
                <w:rFonts w:hint="eastAsia" w:ascii="宋体" w:hAnsi="宋体"/>
                <w:position w:val="0"/>
                <w:szCs w:val="21"/>
                <w:highlight w:val="none"/>
              </w:rPr>
              <w:t>3.2.1</w:t>
            </w:r>
          </w:p>
        </w:tc>
        <w:tc>
          <w:tcPr>
            <w:tcW w:w="1470" w:type="pct"/>
            <w:vAlign w:val="center"/>
          </w:tcPr>
          <w:p>
            <w:pPr>
              <w:spacing w:line="360" w:lineRule="auto"/>
              <w:rPr>
                <w:rFonts w:ascii="宋体" w:hAnsi="宋体"/>
                <w:position w:val="0"/>
                <w:szCs w:val="21"/>
                <w:highlight w:val="none"/>
              </w:rPr>
            </w:pPr>
            <w:r>
              <w:rPr>
                <w:rFonts w:hint="eastAsia" w:ascii="宋体" w:hAnsi="宋体"/>
                <w:position w:val="0"/>
                <w:szCs w:val="21"/>
                <w:highlight w:val="none"/>
              </w:rPr>
              <w:t>增值税税金的计算方法</w:t>
            </w:r>
          </w:p>
        </w:tc>
        <w:tc>
          <w:tcPr>
            <w:tcW w:w="2971" w:type="pct"/>
            <w:vAlign w:val="center"/>
          </w:tcPr>
          <w:p>
            <w:pPr>
              <w:spacing w:line="360" w:lineRule="auto"/>
              <w:rPr>
                <w:rFonts w:ascii="宋体" w:hAnsi="宋体"/>
                <w:position w:val="0"/>
                <w:szCs w:val="21"/>
                <w:highlight w:val="none"/>
              </w:rPr>
            </w:pPr>
            <w:r>
              <w:rPr>
                <w:rFonts w:hint="eastAsia" w:ascii="宋体" w:hAnsi="宋体"/>
                <w:position w:val="0"/>
                <w:szCs w:val="21"/>
                <w:highlight w:val="none"/>
              </w:rPr>
              <w:t>■一般计税方法</w:t>
            </w:r>
          </w:p>
          <w:p>
            <w:pPr>
              <w:spacing w:line="360" w:lineRule="auto"/>
              <w:rPr>
                <w:rFonts w:ascii="宋体" w:hAnsi="宋体"/>
                <w:position w:val="0"/>
                <w:szCs w:val="21"/>
                <w:highlight w:val="none"/>
              </w:rPr>
            </w:pPr>
            <w:r>
              <w:rPr>
                <w:rFonts w:hint="eastAsia" w:ascii="宋体" w:hAnsi="宋体"/>
                <w:position w:val="0"/>
                <w:szCs w:val="21"/>
                <w:highlight w:val="none"/>
              </w:rPr>
              <w:t>□简易计税方法</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br w:type="page"/>
            </w:r>
            <w:r>
              <w:rPr>
                <w:szCs w:val="21"/>
                <w:highlight w:val="none"/>
              </w:rPr>
              <w:t>3.2.3</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报价方式</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■总价</w:t>
            </w:r>
          </w:p>
          <w:p>
            <w:pPr>
              <w:spacing w:line="360" w:lineRule="auto"/>
              <w:rPr>
                <w:rFonts w:ascii="宋体" w:hAnsi="宋体"/>
                <w:position w:val="0"/>
                <w:szCs w:val="21"/>
                <w:highlight w:val="none"/>
              </w:rPr>
            </w:pPr>
            <w:r>
              <w:rPr>
                <w:rFonts w:hint="eastAsia" w:ascii="宋体" w:hAnsi="宋体"/>
                <w:position w:val="0"/>
                <w:szCs w:val="21"/>
                <w:highlight w:val="none"/>
              </w:rPr>
              <w:t>□单价</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3.2.4</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最高投标限价</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■有，招标人为本次招标编制了最高投标限价</w:t>
            </w:r>
          </w:p>
          <w:p>
            <w:pPr>
              <w:spacing w:line="360" w:lineRule="auto"/>
              <w:rPr>
                <w:rFonts w:ascii="宋体" w:hAnsi="宋体"/>
                <w:position w:val="0"/>
                <w:szCs w:val="21"/>
                <w:highlight w:val="none"/>
              </w:rPr>
            </w:pPr>
            <w:r>
              <w:rPr>
                <w:rFonts w:ascii="宋体" w:hAnsi="宋体"/>
                <w:position w:val="0"/>
                <w:szCs w:val="21"/>
                <w:highlight w:val="none"/>
                <w:u w:val="single"/>
              </w:rPr>
              <w:t>1</w:t>
            </w:r>
            <w:r>
              <w:rPr>
                <w:rFonts w:hint="eastAsia" w:ascii="宋体" w:hAnsi="宋体"/>
                <w:position w:val="0"/>
                <w:szCs w:val="21"/>
                <w:highlight w:val="none"/>
              </w:rPr>
              <w:t>标段</w:t>
            </w:r>
            <w:r>
              <w:rPr>
                <w:rFonts w:ascii="宋体" w:hAnsi="宋体"/>
                <w:position w:val="0"/>
                <w:szCs w:val="21"/>
                <w:highlight w:val="none"/>
                <w:u w:val="single"/>
              </w:rPr>
              <w:t>1140000</w:t>
            </w:r>
            <w:r>
              <w:rPr>
                <w:rFonts w:hint="eastAsia" w:ascii="宋体" w:hAnsi="宋体"/>
                <w:position w:val="0"/>
                <w:szCs w:val="21"/>
                <w:highlight w:val="none"/>
              </w:rPr>
              <w:t>元，其中暂列金额</w:t>
            </w:r>
            <w:r>
              <w:rPr>
                <w:rFonts w:ascii="宋体" w:hAnsi="宋体"/>
                <w:position w:val="0"/>
                <w:szCs w:val="21"/>
                <w:highlight w:val="none"/>
                <w:u w:val="single"/>
              </w:rPr>
              <w:t>0</w:t>
            </w:r>
            <w:r>
              <w:rPr>
                <w:rFonts w:hint="eastAsia" w:ascii="宋体" w:hAnsi="宋体"/>
                <w:position w:val="0"/>
                <w:szCs w:val="21"/>
                <w:highlight w:val="none"/>
              </w:rPr>
              <w:t>元；</w:t>
            </w:r>
          </w:p>
          <w:p>
            <w:pPr>
              <w:spacing w:line="360" w:lineRule="auto"/>
              <w:rPr>
                <w:rFonts w:ascii="宋体" w:hAnsi="宋体"/>
                <w:position w:val="0"/>
                <w:szCs w:val="21"/>
                <w:highlight w:val="none"/>
              </w:rPr>
            </w:pPr>
            <w:r>
              <w:rPr>
                <w:rFonts w:ascii="宋体" w:hAnsi="宋体"/>
                <w:position w:val="0"/>
                <w:szCs w:val="21"/>
                <w:highlight w:val="none"/>
                <w:u w:val="single"/>
              </w:rPr>
              <w:t>2</w:t>
            </w:r>
            <w:r>
              <w:rPr>
                <w:rFonts w:hint="eastAsia" w:ascii="宋体" w:hAnsi="宋体"/>
                <w:position w:val="0"/>
                <w:szCs w:val="21"/>
                <w:highlight w:val="none"/>
              </w:rPr>
              <w:t>标段</w:t>
            </w:r>
            <w:r>
              <w:rPr>
                <w:rFonts w:ascii="宋体" w:hAnsi="宋体"/>
                <w:position w:val="0"/>
                <w:szCs w:val="21"/>
                <w:highlight w:val="none"/>
                <w:u w:val="single"/>
              </w:rPr>
              <w:t>1100000</w:t>
            </w:r>
            <w:r>
              <w:rPr>
                <w:rFonts w:hint="eastAsia" w:ascii="宋体" w:hAnsi="宋体"/>
                <w:position w:val="0"/>
                <w:szCs w:val="21"/>
                <w:highlight w:val="none"/>
              </w:rPr>
              <w:t>元，其中暂列金额</w:t>
            </w:r>
            <w:r>
              <w:rPr>
                <w:rFonts w:ascii="宋体" w:hAnsi="宋体"/>
                <w:position w:val="0"/>
                <w:szCs w:val="21"/>
                <w:highlight w:val="none"/>
                <w:u w:val="single"/>
              </w:rPr>
              <w:t>0</w:t>
            </w:r>
            <w:r>
              <w:rPr>
                <w:rFonts w:hint="eastAsia" w:ascii="宋体" w:hAnsi="宋体"/>
                <w:position w:val="0"/>
                <w:szCs w:val="21"/>
                <w:highlight w:val="none"/>
              </w:rPr>
              <w:t>元；</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3.2.5</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投标报价的其他要求</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hint="eastAsia" w:ascii="宋体" w:hAnsi="宋体" w:eastAsia="宋体"/>
                <w:position w:val="0"/>
                <w:szCs w:val="21"/>
                <w:highlight w:val="none"/>
                <w:lang w:val="en-US" w:eastAsia="zh-CN"/>
              </w:rPr>
            </w:pPr>
            <w:r>
              <w:rPr>
                <w:rFonts w:hint="eastAsia" w:ascii="宋体" w:hAnsi="宋体"/>
                <w:position w:val="0"/>
                <w:szCs w:val="21"/>
                <w:highlight w:val="none"/>
                <w:lang w:val="en-US" w:eastAsia="zh-CN"/>
              </w:rPr>
              <w:t>/</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3.3.1</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投标有效期</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自投标人提交投标文件截止之日起计算90日</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3.4.1</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投标保证金</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投标保证金的金额：</w:t>
            </w:r>
          </w:p>
          <w:p>
            <w:pPr>
              <w:spacing w:line="360" w:lineRule="auto"/>
              <w:rPr>
                <w:rFonts w:ascii="宋体" w:hAnsi="宋体"/>
                <w:position w:val="0"/>
                <w:szCs w:val="21"/>
                <w:highlight w:val="none"/>
              </w:rPr>
            </w:pPr>
            <w:r>
              <w:rPr>
                <w:rFonts w:hint="eastAsia" w:ascii="宋体" w:hAnsi="宋体"/>
                <w:position w:val="0"/>
                <w:szCs w:val="21"/>
                <w:highlight w:val="none"/>
              </w:rPr>
              <w:t>投标人采用现金方式递交投标保证金的，投标人应在投标截止时间前（以到账时间为准）以转账、电汇、网银方式从投标人基本账户一次性划到以下保证金专用账户：</w:t>
            </w:r>
          </w:p>
          <w:p>
            <w:pPr>
              <w:rPr>
                <w:rFonts w:ascii="宋体" w:hAnsi="宋体"/>
                <w:position w:val="0"/>
                <w:szCs w:val="21"/>
                <w:highlight w:val="none"/>
              </w:rPr>
            </w:pPr>
            <w:r>
              <w:rPr>
                <w:rFonts w:hint="eastAsia" w:ascii="宋体" w:hAnsi="宋体"/>
                <w:position w:val="0"/>
                <w:szCs w:val="21"/>
                <w:highlight w:val="none"/>
              </w:rPr>
              <w:t>户 名：湖南省新新张官高速公路建设开发有限公司</w:t>
            </w:r>
          </w:p>
          <w:p>
            <w:pPr>
              <w:ind w:firstLine="735" w:firstLineChars="350"/>
              <w:rPr>
                <w:rFonts w:ascii="宋体" w:hAnsi="宋体"/>
                <w:position w:val="0"/>
                <w:szCs w:val="21"/>
                <w:highlight w:val="none"/>
              </w:rPr>
            </w:pPr>
            <w:r>
              <w:rPr>
                <w:rFonts w:hint="eastAsia" w:ascii="宋体" w:hAnsi="宋体"/>
                <w:position w:val="0"/>
                <w:szCs w:val="21"/>
                <w:highlight w:val="none"/>
              </w:rPr>
              <w:t>新宁分公司</w:t>
            </w:r>
          </w:p>
          <w:p>
            <w:pPr>
              <w:spacing w:line="360" w:lineRule="auto"/>
              <w:rPr>
                <w:rFonts w:ascii="宋体" w:hAnsi="宋体"/>
                <w:position w:val="0"/>
                <w:szCs w:val="21"/>
                <w:highlight w:val="none"/>
              </w:rPr>
            </w:pPr>
            <w:r>
              <w:rPr>
                <w:rFonts w:hint="eastAsia" w:ascii="宋体" w:hAnsi="宋体"/>
                <w:position w:val="0"/>
                <w:szCs w:val="21"/>
                <w:highlight w:val="none"/>
              </w:rPr>
              <w:t>开户银行：中国银行崀山支行</w:t>
            </w:r>
          </w:p>
          <w:p>
            <w:pPr>
              <w:spacing w:line="360" w:lineRule="auto"/>
              <w:rPr>
                <w:rFonts w:ascii="宋体" w:hAnsi="宋体"/>
                <w:position w:val="0"/>
                <w:szCs w:val="21"/>
                <w:highlight w:val="none"/>
              </w:rPr>
            </w:pPr>
            <w:r>
              <w:rPr>
                <w:rFonts w:hint="eastAsia" w:ascii="宋体" w:hAnsi="宋体"/>
                <w:position w:val="0"/>
                <w:szCs w:val="21"/>
                <w:highlight w:val="none"/>
              </w:rPr>
              <w:t>账 号：5963 7772 8862</w:t>
            </w:r>
          </w:p>
          <w:p>
            <w:pPr>
              <w:spacing w:line="360" w:lineRule="auto"/>
              <w:rPr>
                <w:rFonts w:ascii="宋体" w:hAnsi="宋体"/>
                <w:position w:val="0"/>
                <w:szCs w:val="21"/>
                <w:highlight w:val="none"/>
              </w:rPr>
            </w:pPr>
            <w:r>
              <w:rPr>
                <w:rFonts w:hint="eastAsia" w:ascii="宋体" w:hAnsi="宋体"/>
                <w:position w:val="0"/>
                <w:szCs w:val="21"/>
                <w:highlight w:val="none"/>
              </w:rPr>
              <w:t>（投标保证金应备注：1标段水土保持监测或2标段环境监测服务）</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3.4.4</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其他可以不予退还投标保证金的情形</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hint="eastAsia" w:ascii="宋体" w:hAnsi="宋体" w:eastAsia="宋体"/>
                <w:position w:val="0"/>
                <w:szCs w:val="21"/>
                <w:highlight w:val="none"/>
                <w:lang w:val="en-US" w:eastAsia="zh-CN"/>
              </w:rPr>
            </w:pPr>
            <w:r>
              <w:rPr>
                <w:rFonts w:hint="eastAsia" w:ascii="宋体" w:hAnsi="宋体"/>
                <w:position w:val="0"/>
                <w:szCs w:val="21"/>
                <w:highlight w:val="none"/>
                <w:lang w:val="en-US" w:eastAsia="zh-CN"/>
              </w:rPr>
              <w:t>/</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3.5</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资格审查资料的特殊要求</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■无</w:t>
            </w:r>
          </w:p>
          <w:p>
            <w:pPr>
              <w:spacing w:line="360" w:lineRule="auto"/>
              <w:rPr>
                <w:rFonts w:ascii="宋体" w:hAnsi="宋体"/>
                <w:position w:val="0"/>
                <w:szCs w:val="21"/>
                <w:highlight w:val="none"/>
              </w:rPr>
            </w:pPr>
            <w:r>
              <w:rPr>
                <w:rFonts w:hint="eastAsia" w:ascii="宋体" w:hAnsi="宋体"/>
                <w:position w:val="0"/>
                <w:szCs w:val="21"/>
                <w:highlight w:val="none"/>
              </w:rPr>
              <w:t>□有，具体要求：</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3.5.2</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近年完成的类似项目情况的时间要求</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ascii="宋体" w:hAnsi="宋体"/>
                <w:position w:val="0"/>
                <w:szCs w:val="21"/>
                <w:highlight w:val="none"/>
              </w:rPr>
              <w:t>2018</w:t>
            </w:r>
            <w:r>
              <w:rPr>
                <w:rFonts w:hint="eastAsia" w:ascii="宋体" w:hAnsi="宋体"/>
                <w:position w:val="0"/>
                <w:szCs w:val="21"/>
                <w:highlight w:val="none"/>
              </w:rPr>
              <w:t xml:space="preserve">年 </w:t>
            </w:r>
            <w:r>
              <w:rPr>
                <w:rFonts w:ascii="宋体" w:hAnsi="宋体"/>
                <w:position w:val="0"/>
                <w:szCs w:val="21"/>
                <w:highlight w:val="none"/>
              </w:rPr>
              <w:t>5</w:t>
            </w:r>
            <w:r>
              <w:rPr>
                <w:rFonts w:hint="eastAsia" w:ascii="宋体" w:hAnsi="宋体"/>
                <w:position w:val="0"/>
                <w:szCs w:val="21"/>
                <w:highlight w:val="none"/>
              </w:rPr>
              <w:t xml:space="preserve"> 月 </w:t>
            </w:r>
            <w:r>
              <w:rPr>
                <w:rFonts w:ascii="宋体" w:hAnsi="宋体"/>
                <w:position w:val="0"/>
                <w:szCs w:val="21"/>
                <w:highlight w:val="none"/>
              </w:rPr>
              <w:t>1</w:t>
            </w:r>
            <w:r>
              <w:rPr>
                <w:rFonts w:hint="eastAsia" w:ascii="宋体" w:hAnsi="宋体"/>
                <w:position w:val="0"/>
                <w:szCs w:val="21"/>
                <w:highlight w:val="none"/>
              </w:rPr>
              <w:t xml:space="preserve"> 日至 </w:t>
            </w:r>
            <w:r>
              <w:rPr>
                <w:rFonts w:ascii="宋体" w:hAnsi="宋体"/>
                <w:position w:val="0"/>
                <w:szCs w:val="21"/>
                <w:highlight w:val="none"/>
              </w:rPr>
              <w:t>2023</w:t>
            </w:r>
            <w:r>
              <w:rPr>
                <w:rFonts w:hint="eastAsia" w:ascii="宋体" w:hAnsi="宋体"/>
                <w:position w:val="0"/>
                <w:szCs w:val="21"/>
                <w:highlight w:val="none"/>
              </w:rPr>
              <w:t xml:space="preserve"> 年 </w:t>
            </w:r>
            <w:r>
              <w:rPr>
                <w:rFonts w:ascii="宋体" w:hAnsi="宋体"/>
                <w:position w:val="0"/>
                <w:szCs w:val="21"/>
                <w:highlight w:val="none"/>
              </w:rPr>
              <w:t>5</w:t>
            </w:r>
            <w:r>
              <w:rPr>
                <w:rFonts w:hint="eastAsia" w:ascii="宋体" w:hAnsi="宋体"/>
                <w:position w:val="0"/>
                <w:szCs w:val="21"/>
                <w:highlight w:val="none"/>
              </w:rPr>
              <w:t xml:space="preserve"> 月 </w:t>
            </w:r>
            <w:r>
              <w:rPr>
                <w:rFonts w:ascii="宋体" w:hAnsi="宋体"/>
                <w:position w:val="0"/>
                <w:szCs w:val="21"/>
                <w:highlight w:val="none"/>
              </w:rPr>
              <w:t>1</w:t>
            </w:r>
            <w:r>
              <w:rPr>
                <w:rFonts w:hint="eastAsia" w:ascii="宋体" w:hAnsi="宋体"/>
                <w:position w:val="0"/>
                <w:szCs w:val="21"/>
                <w:highlight w:val="none"/>
              </w:rPr>
              <w:t xml:space="preserve"> 日</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 w:val="22"/>
                <w:szCs w:val="22"/>
                <w:highlight w:val="none"/>
              </w:rPr>
            </w:pPr>
            <w:r>
              <w:rPr>
                <w:sz w:val="22"/>
                <w:szCs w:val="22"/>
                <w:highlight w:val="none"/>
              </w:rPr>
              <w:t>3.5.3</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投标人的信誉情况表</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第3.5.3项细化为：</w:t>
            </w:r>
          </w:p>
          <w:p>
            <w:pPr>
              <w:spacing w:line="360" w:lineRule="auto"/>
              <w:rPr>
                <w:rFonts w:ascii="宋体" w:hAnsi="宋体"/>
                <w:position w:val="0"/>
                <w:szCs w:val="21"/>
                <w:highlight w:val="none"/>
              </w:rPr>
            </w:pPr>
            <w:r>
              <w:rPr>
                <w:rFonts w:hint="eastAsia" w:ascii="宋体" w:hAnsi="宋体"/>
                <w:position w:val="0"/>
                <w:szCs w:val="21"/>
                <w:highlight w:val="none"/>
              </w:rPr>
              <w:t>“投标人的信誉情况表”应附投标人在国家企业信用信息公示系统中未被列入严重违法失信企业名单的网页截图复印件和在“信用中国”网站中未被列入失信被执行人名单的网页截图复印件。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3.6.1</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是否允许递交备选投标方案</w:t>
            </w:r>
          </w:p>
        </w:tc>
        <w:tc>
          <w:tcPr>
            <w:tcW w:w="2971" w:type="pct"/>
            <w:tcBorders>
              <w:top w:val="single" w:color="auto" w:sz="4" w:space="0"/>
              <w:left w:val="single" w:color="auto" w:sz="4" w:space="0"/>
              <w:bottom w:val="single" w:color="auto" w:sz="4" w:space="0"/>
              <w:right w:val="single" w:color="auto" w:sz="4" w:space="0"/>
            </w:tcBorders>
            <w:vAlign w:val="center"/>
          </w:tcPr>
          <w:p>
            <w:pPr>
              <w:pStyle w:val="10"/>
              <w:topLinePunct/>
              <w:spacing w:line="440" w:lineRule="atLeast"/>
              <w:jc w:val="both"/>
              <w:rPr>
                <w:szCs w:val="21"/>
                <w:highlight w:val="none"/>
              </w:rPr>
            </w:pPr>
            <w:r>
              <w:rPr>
                <w:rFonts w:hint="eastAsia"/>
                <w:sz w:val="21"/>
                <w:szCs w:val="21"/>
                <w:highlight w:val="none"/>
              </w:rPr>
              <w:t>■</w:t>
            </w:r>
            <w:r>
              <w:rPr>
                <w:sz w:val="21"/>
                <w:szCs w:val="21"/>
                <w:highlight w:val="none"/>
              </w:rPr>
              <w:t>不允许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vAlign w:val="center"/>
          </w:tcPr>
          <w:p>
            <w:pPr>
              <w:spacing w:line="360" w:lineRule="atLeast"/>
              <w:jc w:val="center"/>
              <w:rPr>
                <w:szCs w:val="21"/>
                <w:highlight w:val="none"/>
              </w:rPr>
            </w:pPr>
            <w:r>
              <w:rPr>
                <w:szCs w:val="21"/>
                <w:highlight w:val="none"/>
              </w:rPr>
              <w:t>3.7.2</w:t>
            </w:r>
          </w:p>
        </w:tc>
        <w:tc>
          <w:tcPr>
            <w:tcW w:w="1470" w:type="pct"/>
            <w:vAlign w:val="center"/>
          </w:tcPr>
          <w:p>
            <w:pPr>
              <w:spacing w:line="360" w:lineRule="auto"/>
              <w:rPr>
                <w:rFonts w:ascii="宋体" w:hAnsi="宋体"/>
                <w:position w:val="0"/>
                <w:szCs w:val="21"/>
                <w:highlight w:val="none"/>
              </w:rPr>
            </w:pPr>
            <w:r>
              <w:rPr>
                <w:rFonts w:hint="eastAsia" w:ascii="宋体" w:hAnsi="宋体"/>
                <w:position w:val="0"/>
                <w:szCs w:val="21"/>
                <w:highlight w:val="none"/>
              </w:rPr>
              <w:t>投标文件应对招标文件实质性内容作出响应</w:t>
            </w:r>
          </w:p>
        </w:tc>
        <w:tc>
          <w:tcPr>
            <w:tcW w:w="2971" w:type="pct"/>
            <w:vAlign w:val="center"/>
          </w:tcPr>
          <w:p>
            <w:pPr>
              <w:spacing w:line="360" w:lineRule="auto"/>
              <w:rPr>
                <w:rFonts w:ascii="宋体" w:hAnsi="宋体"/>
                <w:position w:val="0"/>
                <w:szCs w:val="21"/>
                <w:highlight w:val="none"/>
              </w:rPr>
            </w:pPr>
            <w:r>
              <w:rPr>
                <w:rFonts w:hint="eastAsia" w:ascii="宋体" w:hAnsi="宋体"/>
                <w:position w:val="0"/>
                <w:szCs w:val="21"/>
                <w:highlight w:val="none"/>
              </w:rPr>
              <w:t>第3.7.2项修改为：</w:t>
            </w:r>
          </w:p>
          <w:p>
            <w:pPr>
              <w:spacing w:line="360" w:lineRule="auto"/>
              <w:rPr>
                <w:rFonts w:ascii="宋体" w:hAnsi="宋体"/>
                <w:position w:val="0"/>
                <w:szCs w:val="21"/>
                <w:highlight w:val="none"/>
              </w:rPr>
            </w:pPr>
            <w:r>
              <w:rPr>
                <w:rFonts w:hint="eastAsia" w:ascii="宋体" w:hAnsi="宋体"/>
                <w:position w:val="0"/>
                <w:szCs w:val="21"/>
                <w:highlight w:val="none"/>
              </w:rPr>
              <w:t>投标文件应对招标文件有关服务期限、投标有效期、质量要求、安全目标、环保目标、委托人要求、招标范围等实质性内容作出响应。</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br w:type="page"/>
            </w:r>
            <w:r>
              <w:rPr>
                <w:szCs w:val="21"/>
                <w:highlight w:val="none"/>
              </w:rPr>
              <w:t>3.7.4</w:t>
            </w:r>
          </w:p>
        </w:tc>
        <w:tc>
          <w:tcPr>
            <w:tcW w:w="1470"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投标文件副本份数及其他要求</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宋体" w:hAnsi="宋体"/>
                <w:position w:val="0"/>
                <w:szCs w:val="21"/>
                <w:highlight w:val="none"/>
              </w:rPr>
            </w:pPr>
            <w:r>
              <w:rPr>
                <w:rFonts w:hint="eastAsia" w:ascii="宋体" w:hAnsi="宋体"/>
                <w:position w:val="0"/>
                <w:szCs w:val="21"/>
                <w:highlight w:val="none"/>
              </w:rPr>
              <w:t>投标文件副本份数：一正四副</w:t>
            </w:r>
          </w:p>
          <w:p>
            <w:pPr>
              <w:spacing w:line="360" w:lineRule="auto"/>
              <w:rPr>
                <w:rFonts w:ascii="宋体" w:hAnsi="宋体"/>
                <w:position w:val="0"/>
                <w:szCs w:val="21"/>
                <w:highlight w:val="none"/>
              </w:rPr>
            </w:pPr>
            <w:r>
              <w:rPr>
                <w:rFonts w:hint="eastAsia" w:ascii="宋体" w:hAnsi="宋体"/>
                <w:position w:val="0"/>
                <w:szCs w:val="21"/>
                <w:highlight w:val="none"/>
              </w:rPr>
              <w:t>是否要求提交电子版文件：U盘电子文件一份</w:t>
            </w:r>
          </w:p>
          <w:p>
            <w:pPr>
              <w:spacing w:line="360" w:lineRule="auto"/>
              <w:rPr>
                <w:rFonts w:ascii="宋体" w:hAnsi="宋体"/>
                <w:position w:val="0"/>
                <w:szCs w:val="21"/>
                <w:highlight w:val="none"/>
              </w:rPr>
            </w:pPr>
            <w:r>
              <w:rPr>
                <w:rFonts w:hint="eastAsia" w:ascii="宋体" w:hAnsi="宋体"/>
                <w:position w:val="0"/>
                <w:szCs w:val="21"/>
                <w:highlight w:val="none"/>
              </w:rPr>
              <w:t>其他要求：无</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3.7.5</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rPr>
                <w:szCs w:val="21"/>
                <w:highlight w:val="none"/>
              </w:rPr>
            </w:pPr>
            <w:r>
              <w:rPr>
                <w:szCs w:val="21"/>
                <w:highlight w:val="none"/>
              </w:rPr>
              <w:t>装订的其他要求</w:t>
            </w:r>
          </w:p>
        </w:tc>
        <w:tc>
          <w:tcPr>
            <w:tcW w:w="2971" w:type="pct"/>
            <w:tcBorders>
              <w:top w:val="single" w:color="auto" w:sz="4" w:space="0"/>
              <w:left w:val="single" w:color="auto" w:sz="4" w:space="0"/>
              <w:bottom w:val="single" w:color="auto" w:sz="4" w:space="0"/>
              <w:right w:val="single" w:color="auto" w:sz="4" w:space="0"/>
            </w:tcBorders>
            <w:vAlign w:val="center"/>
          </w:tcPr>
          <w:p>
            <w:pPr>
              <w:pStyle w:val="10"/>
              <w:topLinePunct/>
              <w:spacing w:line="440" w:lineRule="atLeast"/>
              <w:jc w:val="both"/>
              <w:rPr>
                <w:rFonts w:hint="eastAsia" w:eastAsia="宋体"/>
                <w:sz w:val="21"/>
                <w:szCs w:val="21"/>
                <w:highlight w:val="none"/>
                <w:lang w:val="en-US" w:eastAsia="zh-CN"/>
              </w:rPr>
            </w:pPr>
            <w:r>
              <w:rPr>
                <w:rFonts w:hint="eastAsia"/>
                <w:sz w:val="21"/>
                <w:szCs w:val="21"/>
                <w:highlight w:val="none"/>
                <w:lang w:val="en-US" w:eastAsia="zh-CN"/>
              </w:rPr>
              <w:t>/</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8260" w:hRule="atLeast"/>
          <w:jc w:val="center"/>
        </w:trPr>
        <w:tc>
          <w:tcPr>
            <w:tcW w:w="558" w:type="pct"/>
            <w:tcBorders>
              <w:top w:val="single" w:color="auto" w:sz="4" w:space="0"/>
              <w:left w:val="single" w:color="auto" w:sz="4" w:space="0"/>
              <w:right w:val="single" w:color="auto" w:sz="4" w:space="0"/>
            </w:tcBorders>
            <w:vAlign w:val="center"/>
          </w:tcPr>
          <w:p>
            <w:pPr>
              <w:spacing w:line="440" w:lineRule="atLeast"/>
              <w:jc w:val="center"/>
              <w:rPr>
                <w:szCs w:val="21"/>
                <w:highlight w:val="none"/>
              </w:rPr>
            </w:pPr>
            <w:r>
              <w:rPr>
                <w:szCs w:val="21"/>
                <w:highlight w:val="none"/>
              </w:rPr>
              <w:t>4.1.2</w:t>
            </w:r>
          </w:p>
        </w:tc>
        <w:tc>
          <w:tcPr>
            <w:tcW w:w="1470" w:type="pct"/>
            <w:tcBorders>
              <w:top w:val="single" w:color="auto" w:sz="4" w:space="0"/>
              <w:left w:val="single" w:color="auto" w:sz="4" w:space="0"/>
              <w:right w:val="single" w:color="auto" w:sz="4" w:space="0"/>
            </w:tcBorders>
            <w:vAlign w:val="center"/>
          </w:tcPr>
          <w:p>
            <w:pPr>
              <w:spacing w:line="440" w:lineRule="atLeast"/>
              <w:rPr>
                <w:szCs w:val="21"/>
                <w:highlight w:val="none"/>
              </w:rPr>
            </w:pPr>
            <w:r>
              <w:rPr>
                <w:szCs w:val="21"/>
                <w:highlight w:val="none"/>
              </w:rPr>
              <w:t>封套上应载明的信息</w:t>
            </w:r>
          </w:p>
        </w:tc>
        <w:tc>
          <w:tcPr>
            <w:tcW w:w="2971" w:type="pct"/>
            <w:tcBorders>
              <w:top w:val="single" w:color="auto" w:sz="4" w:space="0"/>
              <w:left w:val="single" w:color="auto" w:sz="4" w:space="0"/>
              <w:right w:val="single" w:color="auto" w:sz="4" w:space="0"/>
            </w:tcBorders>
            <w:vAlign w:val="center"/>
          </w:tcPr>
          <w:p>
            <w:pPr>
              <w:pStyle w:val="10"/>
              <w:topLinePunct/>
              <w:spacing w:line="440" w:lineRule="atLeast"/>
              <w:jc w:val="left"/>
              <w:rPr>
                <w:b/>
                <w:sz w:val="21"/>
                <w:szCs w:val="21"/>
                <w:highlight w:val="none"/>
              </w:rPr>
            </w:pPr>
            <w:r>
              <w:rPr>
                <w:b/>
                <w:sz w:val="21"/>
                <w:szCs w:val="21"/>
                <w:highlight w:val="none"/>
              </w:rPr>
              <w:t>投标文件第一个信封（商务及技术文件）封套：</w:t>
            </w:r>
          </w:p>
          <w:p>
            <w:pPr>
              <w:pStyle w:val="10"/>
              <w:topLinePunct/>
              <w:spacing w:line="440" w:lineRule="atLeast"/>
              <w:jc w:val="left"/>
              <w:rPr>
                <w:sz w:val="21"/>
                <w:szCs w:val="21"/>
                <w:highlight w:val="none"/>
              </w:rPr>
            </w:pPr>
            <w:r>
              <w:rPr>
                <w:sz w:val="21"/>
                <w:szCs w:val="21"/>
                <w:highlight w:val="none"/>
              </w:rPr>
              <w:t>招标人名称：</w:t>
            </w:r>
            <w:r>
              <w:rPr>
                <w:sz w:val="21"/>
                <w:szCs w:val="21"/>
                <w:highlight w:val="none"/>
                <w:u w:val="single"/>
              </w:rPr>
              <w:t xml:space="preserve">                  </w:t>
            </w:r>
          </w:p>
          <w:p>
            <w:pPr>
              <w:pStyle w:val="10"/>
              <w:topLinePunct/>
              <w:spacing w:line="440" w:lineRule="atLeast"/>
              <w:jc w:val="left"/>
              <w:rPr>
                <w:sz w:val="21"/>
                <w:szCs w:val="21"/>
                <w:highlight w:val="none"/>
              </w:rPr>
            </w:pPr>
            <w:r>
              <w:rPr>
                <w:sz w:val="21"/>
                <w:szCs w:val="21"/>
                <w:highlight w:val="none"/>
              </w:rPr>
              <w:t>招标人地址：</w:t>
            </w:r>
            <w:r>
              <w:rPr>
                <w:sz w:val="21"/>
                <w:szCs w:val="21"/>
                <w:highlight w:val="none"/>
                <w:u w:val="single"/>
              </w:rPr>
              <w:t xml:space="preserve">                  </w:t>
            </w:r>
          </w:p>
          <w:p>
            <w:pPr>
              <w:pStyle w:val="10"/>
              <w:topLinePunct/>
              <w:spacing w:line="440" w:lineRule="atLeast"/>
              <w:jc w:val="left"/>
              <w:rPr>
                <w:sz w:val="21"/>
                <w:szCs w:val="21"/>
                <w:highlight w:val="none"/>
              </w:rPr>
            </w:pPr>
            <w:r>
              <w:rPr>
                <w:sz w:val="21"/>
                <w:szCs w:val="21"/>
                <w:highlight w:val="none"/>
                <w:u w:val="single"/>
              </w:rPr>
              <w:t xml:space="preserve">      </w:t>
            </w:r>
            <w:r>
              <w:rPr>
                <w:sz w:val="21"/>
                <w:szCs w:val="21"/>
                <w:highlight w:val="none"/>
              </w:rPr>
              <w:t>（项目名称）</w:t>
            </w:r>
            <w:r>
              <w:rPr>
                <w:sz w:val="21"/>
                <w:szCs w:val="21"/>
                <w:highlight w:val="none"/>
                <w:u w:val="single"/>
              </w:rPr>
              <w:t xml:space="preserve">      </w:t>
            </w:r>
            <w:r>
              <w:rPr>
                <w:sz w:val="21"/>
                <w:szCs w:val="21"/>
                <w:highlight w:val="none"/>
              </w:rPr>
              <w:t>标段服务招标第一个信封（商务及技术文件）投标文件</w:t>
            </w:r>
          </w:p>
          <w:p>
            <w:pPr>
              <w:pStyle w:val="10"/>
              <w:topLinePunct/>
              <w:spacing w:line="440" w:lineRule="atLeast"/>
              <w:jc w:val="left"/>
              <w:rPr>
                <w:sz w:val="21"/>
                <w:szCs w:val="21"/>
                <w:highlight w:val="none"/>
              </w:rPr>
            </w:pPr>
            <w:r>
              <w:rPr>
                <w:sz w:val="21"/>
                <w:szCs w:val="21"/>
                <w:highlight w:val="none"/>
              </w:rPr>
              <w:t>招标项目编号：</w:t>
            </w:r>
            <w:r>
              <w:rPr>
                <w:sz w:val="21"/>
                <w:szCs w:val="21"/>
                <w:highlight w:val="none"/>
                <w:u w:val="single"/>
              </w:rPr>
              <w:t xml:space="preserve">            </w:t>
            </w:r>
          </w:p>
          <w:p>
            <w:pPr>
              <w:pStyle w:val="10"/>
              <w:topLinePunct/>
              <w:spacing w:line="440" w:lineRule="atLeast"/>
              <w:jc w:val="left"/>
              <w:rPr>
                <w:sz w:val="21"/>
                <w:szCs w:val="21"/>
                <w:highlight w:val="none"/>
              </w:rPr>
            </w:pPr>
            <w:r>
              <w:rPr>
                <w:sz w:val="21"/>
                <w:szCs w:val="21"/>
                <w:highlight w:val="none"/>
              </w:rPr>
              <w:t>在</w:t>
            </w:r>
            <w:r>
              <w:rPr>
                <w:sz w:val="21"/>
                <w:szCs w:val="21"/>
                <w:highlight w:val="none"/>
                <w:u w:val="single"/>
              </w:rPr>
              <w:t xml:space="preserve">    </w:t>
            </w:r>
            <w:r>
              <w:rPr>
                <w:sz w:val="21"/>
                <w:szCs w:val="21"/>
                <w:highlight w:val="none"/>
              </w:rPr>
              <w:t>年</w:t>
            </w:r>
            <w:r>
              <w:rPr>
                <w:sz w:val="21"/>
                <w:szCs w:val="21"/>
                <w:highlight w:val="none"/>
                <w:u w:val="single"/>
              </w:rPr>
              <w:t xml:space="preserve">   </w:t>
            </w:r>
            <w:r>
              <w:rPr>
                <w:sz w:val="21"/>
                <w:szCs w:val="21"/>
                <w:highlight w:val="none"/>
              </w:rPr>
              <w:t>月</w:t>
            </w:r>
            <w:r>
              <w:rPr>
                <w:sz w:val="21"/>
                <w:szCs w:val="21"/>
                <w:highlight w:val="none"/>
                <w:u w:val="single"/>
              </w:rPr>
              <w:t xml:space="preserve">  </w:t>
            </w:r>
            <w:r>
              <w:rPr>
                <w:sz w:val="21"/>
                <w:szCs w:val="21"/>
                <w:highlight w:val="none"/>
              </w:rPr>
              <w:t>日</w:t>
            </w:r>
            <w:r>
              <w:rPr>
                <w:sz w:val="21"/>
                <w:szCs w:val="21"/>
                <w:highlight w:val="none"/>
                <w:u w:val="single"/>
              </w:rPr>
              <w:t xml:space="preserve">  </w:t>
            </w:r>
            <w:r>
              <w:rPr>
                <w:sz w:val="21"/>
                <w:szCs w:val="21"/>
                <w:highlight w:val="none"/>
              </w:rPr>
              <w:t>时</w:t>
            </w:r>
            <w:r>
              <w:rPr>
                <w:sz w:val="21"/>
                <w:szCs w:val="21"/>
                <w:highlight w:val="none"/>
                <w:u w:val="single"/>
              </w:rPr>
              <w:t xml:space="preserve">  </w:t>
            </w:r>
            <w:r>
              <w:rPr>
                <w:sz w:val="21"/>
                <w:szCs w:val="21"/>
                <w:highlight w:val="none"/>
              </w:rPr>
              <w:t>分前不得开启</w:t>
            </w:r>
          </w:p>
          <w:p>
            <w:pPr>
              <w:pStyle w:val="10"/>
              <w:topLinePunct/>
              <w:spacing w:line="440" w:lineRule="atLeast"/>
              <w:jc w:val="left"/>
              <w:rPr>
                <w:sz w:val="21"/>
                <w:szCs w:val="21"/>
                <w:highlight w:val="none"/>
              </w:rPr>
            </w:pPr>
            <w:r>
              <w:rPr>
                <w:sz w:val="21"/>
                <w:szCs w:val="21"/>
                <w:highlight w:val="none"/>
              </w:rPr>
              <w:t>投标人名称：</w:t>
            </w:r>
            <w:r>
              <w:rPr>
                <w:sz w:val="21"/>
                <w:szCs w:val="21"/>
                <w:highlight w:val="none"/>
                <w:u w:val="single"/>
              </w:rPr>
              <w:t xml:space="preserve">                    </w:t>
            </w:r>
          </w:p>
          <w:p>
            <w:pPr>
              <w:pStyle w:val="10"/>
              <w:topLinePunct/>
              <w:spacing w:line="440" w:lineRule="atLeast"/>
              <w:jc w:val="left"/>
              <w:rPr>
                <w:b/>
                <w:sz w:val="21"/>
                <w:szCs w:val="21"/>
                <w:highlight w:val="none"/>
              </w:rPr>
            </w:pPr>
            <w:r>
              <w:rPr>
                <w:b/>
                <w:sz w:val="21"/>
                <w:szCs w:val="21"/>
                <w:highlight w:val="none"/>
              </w:rPr>
              <w:t>投标文件第二个信封（报价文件）封套：</w:t>
            </w:r>
          </w:p>
          <w:p>
            <w:pPr>
              <w:pStyle w:val="10"/>
              <w:topLinePunct/>
              <w:spacing w:line="440" w:lineRule="atLeast"/>
              <w:jc w:val="left"/>
              <w:rPr>
                <w:sz w:val="21"/>
                <w:szCs w:val="21"/>
                <w:highlight w:val="none"/>
              </w:rPr>
            </w:pPr>
            <w:r>
              <w:rPr>
                <w:sz w:val="21"/>
                <w:szCs w:val="21"/>
                <w:highlight w:val="none"/>
              </w:rPr>
              <w:t>招标人名称：</w:t>
            </w:r>
            <w:r>
              <w:rPr>
                <w:sz w:val="21"/>
                <w:szCs w:val="21"/>
                <w:highlight w:val="none"/>
                <w:u w:val="single"/>
              </w:rPr>
              <w:t xml:space="preserve">                  </w:t>
            </w:r>
          </w:p>
          <w:p>
            <w:pPr>
              <w:pStyle w:val="10"/>
              <w:topLinePunct/>
              <w:spacing w:line="440" w:lineRule="atLeast"/>
              <w:jc w:val="left"/>
              <w:rPr>
                <w:sz w:val="21"/>
                <w:szCs w:val="21"/>
                <w:highlight w:val="none"/>
              </w:rPr>
            </w:pPr>
            <w:r>
              <w:rPr>
                <w:sz w:val="21"/>
                <w:szCs w:val="21"/>
                <w:highlight w:val="none"/>
              </w:rPr>
              <w:t>招标人地址：</w:t>
            </w:r>
            <w:r>
              <w:rPr>
                <w:sz w:val="21"/>
                <w:szCs w:val="21"/>
                <w:highlight w:val="none"/>
                <w:u w:val="single"/>
              </w:rPr>
              <w:t xml:space="preserve">                  </w:t>
            </w:r>
          </w:p>
          <w:p>
            <w:pPr>
              <w:pStyle w:val="10"/>
              <w:topLinePunct/>
              <w:spacing w:line="440" w:lineRule="atLeast"/>
              <w:jc w:val="left"/>
              <w:rPr>
                <w:sz w:val="21"/>
                <w:szCs w:val="21"/>
                <w:highlight w:val="none"/>
              </w:rPr>
            </w:pPr>
            <w:r>
              <w:rPr>
                <w:sz w:val="21"/>
                <w:szCs w:val="21"/>
                <w:highlight w:val="none"/>
                <w:u w:val="single"/>
              </w:rPr>
              <w:t xml:space="preserve">      </w:t>
            </w:r>
            <w:r>
              <w:rPr>
                <w:sz w:val="21"/>
                <w:szCs w:val="21"/>
                <w:highlight w:val="none"/>
              </w:rPr>
              <w:t>（项目名称）</w:t>
            </w:r>
            <w:r>
              <w:rPr>
                <w:sz w:val="21"/>
                <w:szCs w:val="21"/>
                <w:highlight w:val="none"/>
                <w:u w:val="single"/>
              </w:rPr>
              <w:t xml:space="preserve">      </w:t>
            </w:r>
            <w:r>
              <w:rPr>
                <w:sz w:val="21"/>
                <w:szCs w:val="21"/>
                <w:highlight w:val="none"/>
              </w:rPr>
              <w:t>标段服务招标第二个信封（报价文件）投标文件</w:t>
            </w:r>
          </w:p>
          <w:p>
            <w:pPr>
              <w:pStyle w:val="10"/>
              <w:topLinePunct/>
              <w:spacing w:line="440" w:lineRule="atLeast"/>
              <w:jc w:val="left"/>
              <w:rPr>
                <w:sz w:val="21"/>
                <w:szCs w:val="21"/>
                <w:highlight w:val="none"/>
              </w:rPr>
            </w:pPr>
            <w:r>
              <w:rPr>
                <w:sz w:val="21"/>
                <w:szCs w:val="21"/>
                <w:highlight w:val="none"/>
              </w:rPr>
              <w:t>招标项目编号：</w:t>
            </w:r>
            <w:r>
              <w:rPr>
                <w:sz w:val="21"/>
                <w:szCs w:val="21"/>
                <w:highlight w:val="none"/>
                <w:u w:val="single"/>
              </w:rPr>
              <w:t xml:space="preserve">            </w:t>
            </w:r>
          </w:p>
          <w:p>
            <w:pPr>
              <w:pStyle w:val="10"/>
              <w:topLinePunct/>
              <w:spacing w:line="440" w:lineRule="atLeast"/>
              <w:jc w:val="left"/>
              <w:rPr>
                <w:sz w:val="21"/>
                <w:szCs w:val="21"/>
                <w:highlight w:val="none"/>
              </w:rPr>
            </w:pPr>
            <w:r>
              <w:rPr>
                <w:sz w:val="21"/>
                <w:szCs w:val="21"/>
                <w:highlight w:val="none"/>
              </w:rPr>
              <w:t>在投标文件第二个信封（报价文件）开标前不得开启</w:t>
            </w:r>
          </w:p>
          <w:p>
            <w:pPr>
              <w:pStyle w:val="10"/>
              <w:topLinePunct/>
              <w:spacing w:line="440" w:lineRule="atLeast"/>
              <w:jc w:val="left"/>
              <w:rPr>
                <w:sz w:val="21"/>
                <w:szCs w:val="21"/>
                <w:highlight w:val="none"/>
                <w:u w:val="single"/>
              </w:rPr>
            </w:pPr>
            <w:r>
              <w:rPr>
                <w:sz w:val="21"/>
                <w:szCs w:val="21"/>
                <w:highlight w:val="none"/>
              </w:rPr>
              <w:t>投标人名称：</w:t>
            </w:r>
            <w:r>
              <w:rPr>
                <w:sz w:val="21"/>
                <w:szCs w:val="21"/>
                <w:highlight w:val="none"/>
                <w:u w:val="single"/>
              </w:rPr>
              <w:t xml:space="preserve">                        </w:t>
            </w:r>
          </w:p>
          <w:p>
            <w:pPr>
              <w:pStyle w:val="10"/>
              <w:topLinePunct/>
              <w:spacing w:line="440" w:lineRule="atLeast"/>
              <w:jc w:val="left"/>
              <w:rPr>
                <w:sz w:val="21"/>
                <w:szCs w:val="21"/>
                <w:highlight w:val="none"/>
              </w:rPr>
            </w:pPr>
            <w:r>
              <w:rPr>
                <w:sz w:val="21"/>
                <w:szCs w:val="21"/>
                <w:highlight w:val="none"/>
              </w:rPr>
              <w:t>投标人地址：</w:t>
            </w:r>
            <w:r>
              <w:rPr>
                <w:sz w:val="21"/>
                <w:szCs w:val="21"/>
                <w:highlight w:val="none"/>
                <w:u w:val="single"/>
              </w:rPr>
              <w:t xml:space="preserve">                        </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4.2.3</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是否退还投标文件</w:t>
            </w:r>
          </w:p>
        </w:tc>
        <w:tc>
          <w:tcPr>
            <w:tcW w:w="2971" w:type="pct"/>
            <w:tcBorders>
              <w:top w:val="single" w:color="auto" w:sz="4" w:space="0"/>
              <w:left w:val="single" w:color="auto" w:sz="4" w:space="0"/>
              <w:bottom w:val="single" w:color="auto" w:sz="4" w:space="0"/>
              <w:right w:val="single" w:color="auto" w:sz="4" w:space="0"/>
            </w:tcBorders>
            <w:vAlign w:val="center"/>
          </w:tcPr>
          <w:p>
            <w:pPr>
              <w:pStyle w:val="10"/>
              <w:topLinePunct/>
              <w:spacing w:line="440" w:lineRule="atLeast"/>
              <w:jc w:val="both"/>
              <w:rPr>
                <w:szCs w:val="21"/>
                <w:highlight w:val="none"/>
              </w:rPr>
            </w:pPr>
            <w:r>
              <w:rPr>
                <w:rFonts w:hint="eastAsia"/>
                <w:sz w:val="21"/>
                <w:szCs w:val="21"/>
                <w:highlight w:val="none"/>
              </w:rPr>
              <w:t>■</w:t>
            </w:r>
            <w:r>
              <w:rPr>
                <w:sz w:val="21"/>
                <w:szCs w:val="21"/>
                <w:highlight w:val="none"/>
              </w:rPr>
              <w:t>否</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5.1</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开标时间和地点</w:t>
            </w:r>
          </w:p>
        </w:tc>
        <w:tc>
          <w:tcPr>
            <w:tcW w:w="2971" w:type="pct"/>
            <w:tcBorders>
              <w:top w:val="single" w:color="auto" w:sz="4" w:space="0"/>
              <w:left w:val="single" w:color="auto" w:sz="4" w:space="0"/>
              <w:bottom w:val="single" w:color="auto" w:sz="4" w:space="0"/>
              <w:right w:val="single" w:color="auto" w:sz="4" w:space="0"/>
            </w:tcBorders>
            <w:vAlign w:val="center"/>
          </w:tcPr>
          <w:p>
            <w:pPr>
              <w:spacing w:line="440" w:lineRule="atLeast"/>
              <w:rPr>
                <w:szCs w:val="21"/>
                <w:highlight w:val="none"/>
              </w:rPr>
            </w:pPr>
            <w:r>
              <w:rPr>
                <w:szCs w:val="21"/>
                <w:highlight w:val="none"/>
              </w:rPr>
              <w:t>投标文件第一个信封（商务及技术文件）开标时间：</w:t>
            </w:r>
            <w:r>
              <w:rPr>
                <w:szCs w:val="21"/>
                <w:highlight w:val="none"/>
                <w:u w:val="single"/>
              </w:rPr>
              <w:t>同投标截止时间</w:t>
            </w:r>
          </w:p>
          <w:p>
            <w:pPr>
              <w:spacing w:line="440" w:lineRule="atLeast"/>
              <w:rPr>
                <w:szCs w:val="21"/>
                <w:highlight w:val="none"/>
              </w:rPr>
            </w:pPr>
            <w:r>
              <w:rPr>
                <w:szCs w:val="21"/>
                <w:highlight w:val="none"/>
              </w:rPr>
              <w:t>投标文件第一个信封（商务及技术文件）开标地点：</w:t>
            </w:r>
            <w:r>
              <w:rPr>
                <w:szCs w:val="21"/>
                <w:highlight w:val="none"/>
                <w:u w:val="single"/>
              </w:rPr>
              <w:t>同递交投标文件地点</w:t>
            </w:r>
          </w:p>
          <w:p>
            <w:pPr>
              <w:spacing w:line="440" w:lineRule="atLeast"/>
              <w:rPr>
                <w:szCs w:val="21"/>
                <w:highlight w:val="none"/>
              </w:rPr>
            </w:pPr>
            <w:r>
              <w:rPr>
                <w:szCs w:val="21"/>
                <w:highlight w:val="none"/>
              </w:rPr>
              <w:t>投标文件第二个信封（报价文件）开标时间：</w:t>
            </w:r>
            <w:r>
              <w:rPr>
                <w:rFonts w:hint="eastAsia" w:ascii="宋体" w:hAnsi="宋体"/>
                <w:position w:val="0"/>
                <w:szCs w:val="21"/>
                <w:highlight w:val="none"/>
                <w:u w:val="single"/>
              </w:rPr>
              <w:t>第一个信封评审结束后（另行通知）</w:t>
            </w:r>
            <w:r>
              <w:rPr>
                <w:szCs w:val="21"/>
                <w:highlight w:val="none"/>
              </w:rPr>
              <w:t xml:space="preserve">         </w:t>
            </w:r>
          </w:p>
          <w:p>
            <w:pPr>
              <w:spacing w:line="440" w:lineRule="atLeast"/>
              <w:rPr>
                <w:szCs w:val="21"/>
                <w:highlight w:val="none"/>
              </w:rPr>
            </w:pPr>
            <w:r>
              <w:rPr>
                <w:szCs w:val="21"/>
                <w:highlight w:val="none"/>
              </w:rPr>
              <w:t>投标文件第二个信封（报价文件）开标地点：</w:t>
            </w:r>
            <w:r>
              <w:rPr>
                <w:rFonts w:hint="eastAsia" w:ascii="宋体" w:hAnsi="宋体"/>
                <w:position w:val="0"/>
                <w:szCs w:val="21"/>
                <w:highlight w:val="none"/>
                <w:u w:val="single"/>
              </w:rPr>
              <w:t>同第一个信封开标地点）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br w:type="page"/>
            </w:r>
            <w:r>
              <w:rPr>
                <w:szCs w:val="21"/>
                <w:highlight w:val="none"/>
              </w:rPr>
              <w:t>5.2.1</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第一个信封（商务及技术文件）开标程序</w:t>
            </w:r>
          </w:p>
        </w:tc>
        <w:tc>
          <w:tcPr>
            <w:tcW w:w="2971" w:type="pct"/>
            <w:tcBorders>
              <w:top w:val="single" w:color="auto" w:sz="4" w:space="0"/>
              <w:left w:val="single" w:color="auto" w:sz="4" w:space="0"/>
              <w:bottom w:val="single" w:color="auto" w:sz="4" w:space="0"/>
              <w:right w:val="single" w:color="auto" w:sz="4" w:space="0"/>
            </w:tcBorders>
            <w:vAlign w:val="center"/>
          </w:tcPr>
          <w:p>
            <w:pPr>
              <w:spacing w:line="440" w:lineRule="atLeast"/>
              <w:rPr>
                <w:szCs w:val="21"/>
                <w:highlight w:val="none"/>
              </w:rPr>
            </w:pPr>
            <w:r>
              <w:rPr>
                <w:szCs w:val="21"/>
                <w:highlight w:val="none"/>
              </w:rPr>
              <w:t>（4）密封情况检查：</w:t>
            </w:r>
            <w:r>
              <w:rPr>
                <w:szCs w:val="21"/>
                <w:highlight w:val="none"/>
                <w:u w:val="single"/>
              </w:rPr>
              <w:t>检查商务及技术文件是否存在提前开启情况</w:t>
            </w:r>
          </w:p>
          <w:p>
            <w:pPr>
              <w:spacing w:line="440" w:lineRule="atLeast"/>
              <w:rPr>
                <w:szCs w:val="21"/>
                <w:highlight w:val="none"/>
              </w:rPr>
            </w:pPr>
            <w:r>
              <w:rPr>
                <w:szCs w:val="21"/>
                <w:highlight w:val="none"/>
              </w:rPr>
              <w:t>（5）开标顺序：</w:t>
            </w:r>
            <w:r>
              <w:rPr>
                <w:rFonts w:hint="eastAsia"/>
                <w:szCs w:val="21"/>
                <w:highlight w:val="none"/>
                <w:u w:val="single"/>
              </w:rPr>
              <w:t>随机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5.2.3</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第二个信封（报价文件）开标程序</w:t>
            </w:r>
          </w:p>
        </w:tc>
        <w:tc>
          <w:tcPr>
            <w:tcW w:w="2971" w:type="pct"/>
            <w:tcBorders>
              <w:top w:val="single" w:color="auto" w:sz="4" w:space="0"/>
              <w:left w:val="single" w:color="auto" w:sz="4" w:space="0"/>
              <w:bottom w:val="single" w:color="auto" w:sz="4" w:space="0"/>
              <w:right w:val="single" w:color="auto" w:sz="4" w:space="0"/>
            </w:tcBorders>
            <w:vAlign w:val="center"/>
          </w:tcPr>
          <w:p>
            <w:pPr>
              <w:spacing w:line="440" w:lineRule="atLeast"/>
              <w:rPr>
                <w:szCs w:val="21"/>
                <w:highlight w:val="none"/>
              </w:rPr>
            </w:pPr>
            <w:r>
              <w:rPr>
                <w:szCs w:val="21"/>
                <w:highlight w:val="none"/>
              </w:rPr>
              <w:t>（4）密封情况检查：</w:t>
            </w:r>
            <w:r>
              <w:rPr>
                <w:szCs w:val="21"/>
                <w:highlight w:val="none"/>
                <w:u w:val="single"/>
              </w:rPr>
              <w:t>检查报价文件是否存在提前开启情况</w:t>
            </w:r>
          </w:p>
          <w:p>
            <w:pPr>
              <w:spacing w:line="440" w:lineRule="atLeast"/>
              <w:rPr>
                <w:szCs w:val="21"/>
                <w:highlight w:val="none"/>
              </w:rPr>
            </w:pPr>
            <w:r>
              <w:rPr>
                <w:szCs w:val="21"/>
                <w:highlight w:val="none"/>
              </w:rPr>
              <w:t>（5）开标顺序：</w:t>
            </w:r>
            <w:r>
              <w:rPr>
                <w:rFonts w:hint="eastAsia"/>
                <w:szCs w:val="21"/>
                <w:highlight w:val="none"/>
                <w:u w:val="single"/>
              </w:rPr>
              <w:t>随机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tcBorders>
              <w:bottom w:val="single" w:color="auto" w:sz="4" w:space="0"/>
            </w:tcBorders>
            <w:vAlign w:val="center"/>
          </w:tcPr>
          <w:p>
            <w:pPr>
              <w:spacing w:line="440" w:lineRule="atLeast"/>
              <w:jc w:val="center"/>
              <w:rPr>
                <w:szCs w:val="21"/>
                <w:highlight w:val="none"/>
              </w:rPr>
            </w:pPr>
            <w:r>
              <w:rPr>
                <w:szCs w:val="21"/>
                <w:highlight w:val="none"/>
              </w:rPr>
              <w:t>6.1.1</w:t>
            </w:r>
          </w:p>
        </w:tc>
        <w:tc>
          <w:tcPr>
            <w:tcW w:w="1470" w:type="pct"/>
            <w:tcBorders>
              <w:bottom w:val="single" w:color="auto" w:sz="4" w:space="0"/>
            </w:tcBorders>
            <w:vAlign w:val="center"/>
          </w:tcPr>
          <w:p>
            <w:pPr>
              <w:spacing w:line="440" w:lineRule="atLeast"/>
              <w:jc w:val="center"/>
              <w:rPr>
                <w:szCs w:val="21"/>
                <w:highlight w:val="none"/>
              </w:rPr>
            </w:pPr>
            <w:r>
              <w:rPr>
                <w:szCs w:val="21"/>
                <w:highlight w:val="none"/>
              </w:rPr>
              <w:t>评标委员会的组建</w:t>
            </w:r>
            <w:r>
              <w:rPr>
                <w:rStyle w:val="48"/>
                <w:szCs w:val="21"/>
                <w:highlight w:val="none"/>
              </w:rPr>
              <w:footnoteReference w:id="4"/>
            </w:r>
          </w:p>
        </w:tc>
        <w:tc>
          <w:tcPr>
            <w:tcW w:w="2971" w:type="pct"/>
            <w:tcBorders>
              <w:bottom w:val="single" w:color="auto" w:sz="4" w:space="0"/>
            </w:tcBorders>
            <w:vAlign w:val="center"/>
          </w:tcPr>
          <w:p>
            <w:pPr>
              <w:spacing w:line="440" w:lineRule="atLeast"/>
              <w:rPr>
                <w:szCs w:val="21"/>
                <w:highlight w:val="none"/>
              </w:rPr>
            </w:pPr>
            <w:r>
              <w:rPr>
                <w:szCs w:val="21"/>
                <w:highlight w:val="none"/>
              </w:rPr>
              <w:t>评标委员会构成：</w:t>
            </w:r>
            <w:r>
              <w:rPr>
                <w:rFonts w:hint="eastAsia"/>
                <w:szCs w:val="21"/>
                <w:highlight w:val="none"/>
                <w:u w:val="single"/>
                <w:lang w:val="en-US" w:eastAsia="zh-CN"/>
              </w:rPr>
              <w:t>7</w:t>
            </w:r>
            <w:r>
              <w:rPr>
                <w:szCs w:val="21"/>
                <w:highlight w:val="none"/>
              </w:rPr>
              <w:t>人，其中招标人代表</w:t>
            </w:r>
            <w:r>
              <w:rPr>
                <w:szCs w:val="21"/>
                <w:highlight w:val="none"/>
                <w:u w:val="single"/>
              </w:rPr>
              <w:t xml:space="preserve"> 0 </w:t>
            </w:r>
            <w:r>
              <w:rPr>
                <w:szCs w:val="21"/>
                <w:highlight w:val="none"/>
              </w:rPr>
              <w:t>人，专家</w:t>
            </w:r>
            <w:r>
              <w:rPr>
                <w:szCs w:val="21"/>
                <w:highlight w:val="none"/>
                <w:u w:val="single"/>
              </w:rPr>
              <w:t xml:space="preserve"> </w:t>
            </w:r>
            <w:r>
              <w:rPr>
                <w:rFonts w:hint="eastAsia"/>
                <w:szCs w:val="21"/>
                <w:highlight w:val="none"/>
                <w:u w:val="single"/>
                <w:lang w:val="en-US" w:eastAsia="zh-CN"/>
              </w:rPr>
              <w:t>7</w:t>
            </w:r>
            <w:r>
              <w:rPr>
                <w:szCs w:val="21"/>
                <w:highlight w:val="none"/>
                <w:u w:val="single"/>
              </w:rPr>
              <w:t xml:space="preserve"> </w:t>
            </w:r>
            <w:r>
              <w:rPr>
                <w:szCs w:val="21"/>
                <w:highlight w:val="none"/>
              </w:rPr>
              <w:t>人；</w:t>
            </w:r>
          </w:p>
          <w:p>
            <w:pPr>
              <w:spacing w:line="440" w:lineRule="atLeast"/>
              <w:rPr>
                <w:szCs w:val="21"/>
                <w:highlight w:val="none"/>
              </w:rPr>
            </w:pPr>
            <w:r>
              <w:rPr>
                <w:szCs w:val="21"/>
                <w:highlight w:val="none"/>
              </w:rPr>
              <w:t>评标专家确定方式：依法从相应评标专家库中随机抽取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tcBorders>
              <w:bottom w:val="single" w:color="auto" w:sz="4" w:space="0"/>
            </w:tcBorders>
            <w:vAlign w:val="center"/>
          </w:tcPr>
          <w:p>
            <w:pPr>
              <w:spacing w:line="440" w:lineRule="atLeast"/>
              <w:jc w:val="center"/>
              <w:rPr>
                <w:szCs w:val="21"/>
                <w:highlight w:val="none"/>
              </w:rPr>
            </w:pPr>
            <w:r>
              <w:rPr>
                <w:szCs w:val="21"/>
                <w:highlight w:val="none"/>
              </w:rPr>
              <w:t>6.3.2</w:t>
            </w:r>
          </w:p>
        </w:tc>
        <w:tc>
          <w:tcPr>
            <w:tcW w:w="1470" w:type="pct"/>
            <w:tcBorders>
              <w:bottom w:val="single" w:color="auto" w:sz="4" w:space="0"/>
            </w:tcBorders>
            <w:vAlign w:val="center"/>
          </w:tcPr>
          <w:p>
            <w:pPr>
              <w:spacing w:line="440" w:lineRule="atLeast"/>
              <w:jc w:val="center"/>
              <w:rPr>
                <w:szCs w:val="21"/>
                <w:highlight w:val="none"/>
              </w:rPr>
            </w:pPr>
            <w:r>
              <w:rPr>
                <w:szCs w:val="21"/>
                <w:highlight w:val="none"/>
              </w:rPr>
              <w:t>评标委员会推荐中标候选人的人数</w:t>
            </w:r>
          </w:p>
        </w:tc>
        <w:tc>
          <w:tcPr>
            <w:tcW w:w="2971" w:type="pct"/>
            <w:tcBorders>
              <w:bottom w:val="single" w:color="auto" w:sz="4" w:space="0"/>
            </w:tcBorders>
            <w:vAlign w:val="center"/>
          </w:tcPr>
          <w:p>
            <w:pPr>
              <w:spacing w:line="440" w:lineRule="atLeast"/>
              <w:rPr>
                <w:spacing w:val="10"/>
                <w:szCs w:val="21"/>
                <w:highlight w:val="none"/>
                <w:bdr w:val="single" w:color="auto" w:sz="4" w:space="0"/>
              </w:rPr>
            </w:pPr>
            <w:r>
              <w:rPr>
                <w:rFonts w:hint="eastAsia" w:ascii="宋体" w:hAnsi="宋体"/>
                <w:position w:val="0"/>
                <w:szCs w:val="21"/>
                <w:highlight w:val="none"/>
              </w:rPr>
              <w:t>推荐的中标候选人的人数为</w:t>
            </w:r>
            <w:r>
              <w:rPr>
                <w:rFonts w:hint="eastAsia" w:ascii="宋体" w:hAnsi="宋体"/>
                <w:position w:val="0"/>
                <w:szCs w:val="21"/>
                <w:highlight w:val="none"/>
                <w:u w:val="single"/>
              </w:rPr>
              <w:t>1～3</w:t>
            </w:r>
            <w:r>
              <w:rPr>
                <w:rFonts w:hint="eastAsia" w:ascii="宋体" w:hAnsi="宋体"/>
                <w:position w:val="0"/>
                <w:szCs w:val="21"/>
                <w:highlight w:val="none"/>
              </w:rPr>
              <w:t>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nil"/>
              <w:right w:val="single" w:color="auto" w:sz="4" w:space="0"/>
            </w:tcBorders>
            <w:vAlign w:val="center"/>
          </w:tcPr>
          <w:p>
            <w:pPr>
              <w:spacing w:line="440" w:lineRule="atLeast"/>
              <w:jc w:val="center"/>
              <w:rPr>
                <w:szCs w:val="21"/>
                <w:highlight w:val="none"/>
              </w:rPr>
            </w:pPr>
            <w:r>
              <w:rPr>
                <w:szCs w:val="21"/>
                <w:highlight w:val="none"/>
              </w:rPr>
              <w:t>7.1</w:t>
            </w:r>
          </w:p>
        </w:tc>
        <w:tc>
          <w:tcPr>
            <w:tcW w:w="1470" w:type="pct"/>
            <w:tcBorders>
              <w:top w:val="single" w:color="auto" w:sz="4" w:space="0"/>
              <w:left w:val="single" w:color="auto" w:sz="4" w:space="0"/>
              <w:bottom w:val="nil"/>
              <w:right w:val="single" w:color="auto" w:sz="4" w:space="0"/>
            </w:tcBorders>
            <w:vAlign w:val="center"/>
          </w:tcPr>
          <w:p>
            <w:pPr>
              <w:spacing w:line="440" w:lineRule="atLeast"/>
              <w:jc w:val="center"/>
              <w:rPr>
                <w:szCs w:val="21"/>
                <w:highlight w:val="none"/>
              </w:rPr>
            </w:pPr>
            <w:r>
              <w:rPr>
                <w:szCs w:val="21"/>
                <w:highlight w:val="none"/>
              </w:rPr>
              <w:t>中标候选人公示媒介及期限</w:t>
            </w:r>
          </w:p>
        </w:tc>
        <w:tc>
          <w:tcPr>
            <w:tcW w:w="2971" w:type="pct"/>
            <w:tcBorders>
              <w:top w:val="single" w:color="auto" w:sz="4" w:space="0"/>
              <w:left w:val="single" w:color="auto" w:sz="4" w:space="0"/>
              <w:bottom w:val="nil"/>
              <w:right w:val="single" w:color="auto" w:sz="4" w:space="0"/>
            </w:tcBorders>
            <w:vAlign w:val="center"/>
          </w:tcPr>
          <w:p>
            <w:pPr>
              <w:spacing w:line="360" w:lineRule="atLeast"/>
              <w:rPr>
                <w:szCs w:val="21"/>
                <w:highlight w:val="none"/>
              </w:rPr>
            </w:pPr>
            <w:r>
              <w:rPr>
                <w:szCs w:val="21"/>
                <w:highlight w:val="none"/>
              </w:rPr>
              <w:t>公示媒介：</w:t>
            </w:r>
            <w:r>
              <w:rPr>
                <w:rFonts w:eastAsia="黑体"/>
                <w:szCs w:val="21"/>
                <w:highlight w:val="none"/>
                <w:u w:val="single"/>
              </w:rPr>
              <w:t>同招标公告发布媒介</w:t>
            </w:r>
          </w:p>
          <w:p>
            <w:pPr>
              <w:spacing w:line="360" w:lineRule="atLeast"/>
              <w:rPr>
                <w:szCs w:val="21"/>
                <w:highlight w:val="none"/>
              </w:rPr>
            </w:pPr>
            <w:r>
              <w:rPr>
                <w:rFonts w:eastAsiaTheme="minorEastAsia"/>
                <w:szCs w:val="21"/>
                <w:highlight w:val="none"/>
              </w:rPr>
              <w:t>公示期限：</w:t>
            </w:r>
            <w:r>
              <w:rPr>
                <w:rFonts w:eastAsia="黑体"/>
                <w:szCs w:val="21"/>
                <w:highlight w:val="none"/>
                <w:u w:val="single"/>
              </w:rPr>
              <w:t>不得少于3日（不含法定节假日）</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7.4</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是否授权评标委员会确定中标人</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tLeast"/>
              <w:rPr>
                <w:szCs w:val="21"/>
                <w:highlight w:val="none"/>
              </w:rPr>
            </w:pPr>
            <w:r>
              <w:rPr>
                <w:rFonts w:hint="eastAsia" w:ascii="宋体" w:hAnsi="宋体" w:cs="宋体"/>
                <w:szCs w:val="21"/>
                <w:highlight w:val="none"/>
              </w:rPr>
              <w:t>□</w:t>
            </w:r>
            <w:r>
              <w:rPr>
                <w:szCs w:val="21"/>
                <w:highlight w:val="none"/>
              </w:rPr>
              <w:t>是</w:t>
            </w:r>
          </w:p>
          <w:p>
            <w:pPr>
              <w:snapToGrid w:val="0"/>
              <w:spacing w:line="440" w:lineRule="atLeast"/>
              <w:rPr>
                <w:szCs w:val="21"/>
                <w:highlight w:val="none"/>
              </w:rPr>
            </w:pPr>
            <w:r>
              <w:rPr>
                <w:rFonts w:hint="eastAsia"/>
                <w:szCs w:val="21"/>
                <w:highlight w:val="none"/>
              </w:rPr>
              <w:t>■</w:t>
            </w:r>
            <w:r>
              <w:rPr>
                <w:szCs w:val="21"/>
                <w:highlight w:val="none"/>
              </w:rPr>
              <w:t>否</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7.6</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中标结果公告媒介及期限</w:t>
            </w:r>
          </w:p>
        </w:tc>
        <w:tc>
          <w:tcPr>
            <w:tcW w:w="2971" w:type="pct"/>
            <w:tcBorders>
              <w:top w:val="single" w:color="auto" w:sz="4" w:space="0"/>
              <w:left w:val="single" w:color="auto" w:sz="4" w:space="0"/>
              <w:bottom w:val="single" w:color="auto" w:sz="4" w:space="0"/>
              <w:right w:val="single" w:color="auto" w:sz="4" w:space="0"/>
            </w:tcBorders>
            <w:vAlign w:val="center"/>
          </w:tcPr>
          <w:p>
            <w:pPr>
              <w:spacing w:line="360" w:lineRule="atLeast"/>
              <w:rPr>
                <w:szCs w:val="21"/>
                <w:highlight w:val="none"/>
              </w:rPr>
            </w:pPr>
            <w:r>
              <w:rPr>
                <w:szCs w:val="21"/>
                <w:highlight w:val="none"/>
              </w:rPr>
              <w:t>公告媒介：</w:t>
            </w:r>
            <w:r>
              <w:rPr>
                <w:rFonts w:eastAsia="黑体"/>
                <w:szCs w:val="21"/>
                <w:highlight w:val="none"/>
                <w:u w:val="single"/>
              </w:rPr>
              <w:t>同招标公告发布媒介</w:t>
            </w:r>
          </w:p>
          <w:p>
            <w:pPr>
              <w:spacing w:line="440" w:lineRule="atLeast"/>
              <w:rPr>
                <w:szCs w:val="21"/>
                <w:highlight w:val="none"/>
              </w:rPr>
            </w:pPr>
            <w:r>
              <w:rPr>
                <w:rFonts w:eastAsiaTheme="minorEastAsia"/>
                <w:szCs w:val="21"/>
                <w:highlight w:val="none"/>
              </w:rPr>
              <w:t>公告期限：</w:t>
            </w:r>
            <w:r>
              <w:rPr>
                <w:rFonts w:eastAsia="黑体"/>
                <w:szCs w:val="21"/>
                <w:highlight w:val="none"/>
                <w:u w:val="single"/>
              </w:rPr>
              <w:t>不得少于3日（不含法定节假日）</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7.7.1</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履约保证金</w:t>
            </w:r>
          </w:p>
        </w:tc>
        <w:tc>
          <w:tcPr>
            <w:tcW w:w="2971" w:type="pct"/>
            <w:tcBorders>
              <w:top w:val="single" w:color="auto" w:sz="4" w:space="0"/>
              <w:left w:val="single" w:color="auto" w:sz="4" w:space="0"/>
              <w:bottom w:val="single" w:color="auto" w:sz="4" w:space="0"/>
              <w:right w:val="single" w:color="auto" w:sz="4" w:space="0"/>
            </w:tcBorders>
            <w:vAlign w:val="center"/>
          </w:tcPr>
          <w:p>
            <w:pPr>
              <w:pStyle w:val="10"/>
              <w:topLinePunct/>
              <w:spacing w:line="440" w:lineRule="atLeast"/>
              <w:jc w:val="both"/>
              <w:rPr>
                <w:sz w:val="21"/>
                <w:szCs w:val="21"/>
                <w:highlight w:val="none"/>
              </w:rPr>
            </w:pPr>
            <w:r>
              <w:rPr>
                <w:sz w:val="21"/>
                <w:szCs w:val="21"/>
                <w:highlight w:val="none"/>
              </w:rPr>
              <w:t>是否要求中标人提交履约保证金：</w:t>
            </w:r>
          </w:p>
          <w:p>
            <w:pPr>
              <w:pStyle w:val="10"/>
              <w:topLinePunct/>
              <w:spacing w:line="440" w:lineRule="atLeast"/>
              <w:rPr>
                <w:rFonts w:ascii="宋体" w:hAnsi="宋体"/>
                <w:sz w:val="21"/>
                <w:szCs w:val="21"/>
                <w:highlight w:val="none"/>
              </w:rPr>
            </w:pPr>
            <w:r>
              <w:rPr>
                <w:rFonts w:hint="eastAsia" w:ascii="宋体" w:hAnsi="宋体"/>
                <w:position w:val="0"/>
                <w:sz w:val="21"/>
                <w:szCs w:val="21"/>
                <w:highlight w:val="none"/>
              </w:rPr>
              <w:t>■</w:t>
            </w:r>
            <w:r>
              <w:rPr>
                <w:rFonts w:ascii="宋体" w:hAnsi="宋体"/>
                <w:sz w:val="21"/>
                <w:szCs w:val="21"/>
                <w:highlight w:val="none"/>
              </w:rPr>
              <w:t>要求，履约保证金的形式：</w:t>
            </w:r>
            <w:r>
              <w:rPr>
                <w:rFonts w:ascii="宋体" w:hAnsi="宋体"/>
                <w:sz w:val="21"/>
                <w:szCs w:val="21"/>
                <w:highlight w:val="none"/>
                <w:u w:val="single"/>
              </w:rPr>
              <w:t>银行保函或现金、支票形式</w:t>
            </w:r>
            <w:r>
              <w:rPr>
                <w:rStyle w:val="48"/>
                <w:rFonts w:ascii="宋体" w:hAnsi="宋体"/>
                <w:sz w:val="21"/>
                <w:szCs w:val="21"/>
                <w:highlight w:val="none"/>
              </w:rPr>
              <w:footnoteReference w:id="5"/>
            </w:r>
          </w:p>
          <w:p>
            <w:pPr>
              <w:spacing w:line="440" w:lineRule="atLeast"/>
              <w:rPr>
                <w:szCs w:val="21"/>
                <w:highlight w:val="none"/>
              </w:rPr>
            </w:pPr>
            <w:r>
              <w:rPr>
                <w:rFonts w:ascii="宋体" w:hAnsi="宋体"/>
                <w:szCs w:val="21"/>
                <w:highlight w:val="none"/>
              </w:rPr>
              <w:t>履约保</w:t>
            </w:r>
            <w:r>
              <w:rPr>
                <w:szCs w:val="21"/>
                <w:highlight w:val="none"/>
              </w:rPr>
              <w:t>证金的金额：</w:t>
            </w:r>
            <w:r>
              <w:rPr>
                <w:szCs w:val="21"/>
                <w:highlight w:val="none"/>
                <w:u w:val="single"/>
              </w:rPr>
              <w:t>10</w:t>
            </w:r>
            <w:r>
              <w:rPr>
                <w:szCs w:val="21"/>
                <w:highlight w:val="none"/>
              </w:rPr>
              <w:t>％签约合同价</w:t>
            </w:r>
          </w:p>
          <w:p>
            <w:pPr>
              <w:spacing w:line="440" w:lineRule="atLeast"/>
              <w:rPr>
                <w:szCs w:val="21"/>
                <w:highlight w:val="none"/>
              </w:rPr>
            </w:pPr>
            <w:r>
              <w:rPr>
                <w:spacing w:val="-8"/>
                <w:szCs w:val="21"/>
                <w:highlight w:val="none"/>
              </w:rPr>
              <w:t>采用银行保函时，出具保函的银行级别</w:t>
            </w:r>
            <w:r>
              <w:rPr>
                <w:szCs w:val="21"/>
                <w:highlight w:val="none"/>
              </w:rPr>
              <w:t>：</w:t>
            </w:r>
            <w:r>
              <w:rPr>
                <w:rFonts w:hint="eastAsia"/>
                <w:szCs w:val="21"/>
                <w:highlight w:val="none"/>
                <w:u w:val="single"/>
              </w:rPr>
              <w:t>国有或股份制商业银行</w:t>
            </w:r>
          </w:p>
          <w:p>
            <w:pPr>
              <w:spacing w:line="440" w:lineRule="atLeast"/>
              <w:rPr>
                <w:szCs w:val="21"/>
                <w:highlight w:val="none"/>
              </w:rPr>
            </w:pPr>
            <w:r>
              <w:rPr>
                <w:rFonts w:hint="eastAsia" w:ascii="宋体" w:hAnsi="宋体" w:cs="宋体"/>
                <w:szCs w:val="21"/>
                <w:highlight w:val="none"/>
              </w:rPr>
              <w:t>□</w:t>
            </w:r>
            <w:r>
              <w:rPr>
                <w:szCs w:val="21"/>
                <w:highlight w:val="none"/>
              </w:rPr>
              <w:t>不要求</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9</w:t>
            </w:r>
          </w:p>
        </w:tc>
        <w:tc>
          <w:tcPr>
            <w:tcW w:w="1470"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szCs w:val="21"/>
                <w:highlight w:val="none"/>
              </w:rPr>
              <w:t>是否采用电子招标投标</w:t>
            </w:r>
          </w:p>
        </w:tc>
        <w:tc>
          <w:tcPr>
            <w:tcW w:w="2971" w:type="pct"/>
            <w:tcBorders>
              <w:top w:val="single" w:color="auto" w:sz="4" w:space="0"/>
              <w:left w:val="single" w:color="auto" w:sz="4" w:space="0"/>
              <w:bottom w:val="single" w:color="auto" w:sz="4" w:space="0"/>
              <w:right w:val="single" w:color="auto" w:sz="4" w:space="0"/>
            </w:tcBorders>
            <w:vAlign w:val="center"/>
          </w:tcPr>
          <w:p>
            <w:pPr>
              <w:spacing w:line="440" w:lineRule="atLeast"/>
              <w:rPr>
                <w:szCs w:val="21"/>
                <w:highlight w:val="none"/>
              </w:rPr>
            </w:pPr>
            <w:r>
              <w:rPr>
                <w:rFonts w:hint="eastAsia"/>
                <w:szCs w:val="21"/>
                <w:highlight w:val="none"/>
              </w:rPr>
              <w:t>■</w:t>
            </w:r>
            <w:r>
              <w:rPr>
                <w:szCs w:val="21"/>
                <w:highlight w:val="none"/>
              </w:rPr>
              <w:t>否</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000" w:type="pct"/>
            <w:gridSpan w:val="3"/>
            <w:tcBorders>
              <w:top w:val="single" w:color="auto" w:sz="4" w:space="0"/>
              <w:left w:val="single" w:color="auto" w:sz="4" w:space="0"/>
              <w:bottom w:val="single" w:color="auto" w:sz="4" w:space="0"/>
              <w:right w:val="single" w:color="auto" w:sz="4" w:space="0"/>
            </w:tcBorders>
            <w:vAlign w:val="center"/>
          </w:tcPr>
          <w:p>
            <w:pPr>
              <w:spacing w:line="440" w:lineRule="atLeast"/>
              <w:rPr>
                <w:rFonts w:eastAsia="黑体"/>
                <w:szCs w:val="21"/>
                <w:highlight w:val="none"/>
              </w:rPr>
            </w:pPr>
            <w:r>
              <w:rPr>
                <w:rFonts w:eastAsia="黑体"/>
                <w:szCs w:val="21"/>
                <w:highlight w:val="none"/>
              </w:rPr>
              <w:t>需要补充的其他内容</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rFonts w:eastAsia="黑体"/>
                <w:szCs w:val="21"/>
                <w:highlight w:val="none"/>
              </w:rPr>
              <w:t>8.5</w:t>
            </w:r>
          </w:p>
        </w:tc>
        <w:tc>
          <w:tcPr>
            <w:tcW w:w="4441" w:type="pct"/>
            <w:gridSpan w:val="2"/>
            <w:tcBorders>
              <w:top w:val="single" w:color="auto" w:sz="4" w:space="0"/>
              <w:left w:val="single" w:color="auto" w:sz="4" w:space="0"/>
              <w:bottom w:val="single" w:color="auto" w:sz="4" w:space="0"/>
              <w:right w:val="single" w:color="auto" w:sz="4" w:space="0"/>
            </w:tcBorders>
            <w:vAlign w:val="center"/>
          </w:tcPr>
          <w:p>
            <w:pPr>
              <w:spacing w:line="360" w:lineRule="atLeast"/>
              <w:rPr>
                <w:rFonts w:eastAsia="黑体"/>
                <w:szCs w:val="21"/>
                <w:highlight w:val="none"/>
              </w:rPr>
            </w:pPr>
            <w:r>
              <w:rPr>
                <w:rFonts w:eastAsia="黑体"/>
                <w:szCs w:val="21"/>
                <w:highlight w:val="none"/>
              </w:rPr>
              <w:t>8.5 投诉</w:t>
            </w:r>
          </w:p>
          <w:p>
            <w:pPr>
              <w:spacing w:line="360" w:lineRule="atLeast"/>
              <w:rPr>
                <w:rFonts w:eastAsia="黑体"/>
                <w:szCs w:val="21"/>
                <w:highlight w:val="none"/>
              </w:rPr>
            </w:pPr>
            <w:r>
              <w:rPr>
                <w:rFonts w:eastAsia="黑体"/>
                <w:szCs w:val="21"/>
                <w:highlight w:val="none"/>
              </w:rPr>
              <w:t>第8.5.1项细化为：</w:t>
            </w:r>
          </w:p>
          <w:p>
            <w:pPr>
              <w:spacing w:line="440" w:lineRule="atLeast"/>
              <w:rPr>
                <w:rFonts w:eastAsia="黑体"/>
                <w:szCs w:val="21"/>
                <w:highlight w:val="none"/>
              </w:rPr>
            </w:pPr>
            <w:r>
              <w:rPr>
                <w:rFonts w:hint="eastAsia" w:eastAsia="黑体"/>
                <w:szCs w:val="21"/>
                <w:highlight w:val="none"/>
              </w:rPr>
              <w:t>投标人或其他利害关系人认为招标投标活动不符合法律、行政法规规定的，可以自知道或应当知道之日起</w:t>
            </w:r>
            <w:r>
              <w:rPr>
                <w:rFonts w:eastAsia="黑体"/>
                <w:szCs w:val="21"/>
                <w:highlight w:val="none"/>
              </w:rPr>
              <w:t>10日内向有关行政监督部门投诉，</w:t>
            </w:r>
            <w:r>
              <w:rPr>
                <w:rFonts w:hint="eastAsia" w:eastAsia="黑体"/>
                <w:szCs w:val="21"/>
                <w:highlight w:val="none"/>
              </w:rPr>
              <w:t>投诉应有明确的请求和必要的证明材料。对于按</w:t>
            </w:r>
            <w:r>
              <w:rPr>
                <w:rFonts w:eastAsia="黑体"/>
                <w:szCs w:val="21"/>
                <w:highlight w:val="none"/>
              </w:rPr>
              <w:t>法律</w:t>
            </w:r>
            <w:r>
              <w:rPr>
                <w:rFonts w:hint="eastAsia" w:eastAsia="黑体"/>
                <w:szCs w:val="21"/>
                <w:highlight w:val="none"/>
              </w:rPr>
              <w:t>法规规定需要先提出异议的投诉，交通运输主管部门在受理投诉时另要求投诉人递交提出异议的证明文件，已向其他有关行政监督部门投诉的，应当一并说明。未按规定提出异议或者未提交已提出异议的证明文件的投诉，交通运输主管部门不予受理。</w:t>
            </w:r>
          </w:p>
          <w:p>
            <w:pPr>
              <w:spacing w:line="440" w:lineRule="atLeast"/>
              <w:rPr>
                <w:szCs w:val="21"/>
                <w:highlight w:val="none"/>
              </w:rPr>
            </w:pPr>
            <w:r>
              <w:rPr>
                <w:rFonts w:eastAsia="黑体"/>
                <w:szCs w:val="21"/>
                <w:highlight w:val="none"/>
              </w:rPr>
              <w:t>投诉处理期间，交通运输主管部门有权查阅、复制有关文件、资料，调查有关情况，相关单位和人员应当予以配合。必要时，交通运输主管部门可以责令暂停招标投标活动。交通运输主管部门对投诉事项作出的处理决定，应当在对该项目具有招标监督职责的交通运输主管部门政府网站上进行公告。投诉人缺乏事实根据或者法律依据进行投诉的，或者有证据表明投诉人捏造事实、伪造材料的，或者投诉人以非法手段取得证明材料进行投诉的，交通运输主管部门应当予以驳回，并对恶意投诉按照有关规定追究投诉人责任。</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jc w:val="center"/>
        </w:trPr>
        <w:tc>
          <w:tcPr>
            <w:tcW w:w="558" w:type="pct"/>
            <w:tcBorders>
              <w:top w:val="single" w:color="auto" w:sz="4" w:space="0"/>
              <w:left w:val="single" w:color="auto" w:sz="4" w:space="0"/>
              <w:bottom w:val="single" w:color="auto" w:sz="4" w:space="0"/>
              <w:right w:val="single" w:color="auto" w:sz="4" w:space="0"/>
            </w:tcBorders>
            <w:vAlign w:val="center"/>
          </w:tcPr>
          <w:p>
            <w:pPr>
              <w:spacing w:line="440" w:lineRule="atLeast"/>
              <w:jc w:val="center"/>
              <w:rPr>
                <w:szCs w:val="21"/>
                <w:highlight w:val="none"/>
              </w:rPr>
            </w:pPr>
            <w:r>
              <w:rPr>
                <w:rFonts w:eastAsia="黑体"/>
                <w:szCs w:val="21"/>
                <w:highlight w:val="none"/>
              </w:rPr>
              <w:t>10</w:t>
            </w:r>
          </w:p>
        </w:tc>
        <w:tc>
          <w:tcPr>
            <w:tcW w:w="4441" w:type="pct"/>
            <w:gridSpan w:val="2"/>
            <w:tcBorders>
              <w:top w:val="single" w:color="auto" w:sz="4" w:space="0"/>
              <w:left w:val="single" w:color="auto" w:sz="4" w:space="0"/>
              <w:bottom w:val="single" w:color="auto" w:sz="4" w:space="0"/>
              <w:right w:val="single" w:color="auto" w:sz="4" w:space="0"/>
            </w:tcBorders>
            <w:vAlign w:val="center"/>
          </w:tcPr>
          <w:p>
            <w:pPr>
              <w:widowControl/>
              <w:jc w:val="left"/>
              <w:rPr>
                <w:rFonts w:eastAsia="黑体"/>
                <w:kern w:val="0"/>
                <w:szCs w:val="21"/>
                <w:highlight w:val="none"/>
              </w:rPr>
            </w:pPr>
            <w:r>
              <w:rPr>
                <w:rFonts w:eastAsia="黑体"/>
                <w:szCs w:val="21"/>
                <w:highlight w:val="none"/>
              </w:rPr>
              <w:t>10.2 招标代理服务费</w:t>
            </w:r>
          </w:p>
          <w:p>
            <w:pPr>
              <w:widowControl/>
              <w:jc w:val="left"/>
              <w:rPr>
                <w:rFonts w:eastAsia="黑体"/>
                <w:kern w:val="0"/>
                <w:szCs w:val="21"/>
                <w:highlight w:val="none"/>
              </w:rPr>
            </w:pPr>
            <w:r>
              <w:rPr>
                <w:rFonts w:hint="eastAsia" w:ascii="宋体" w:hAnsi="宋体" w:cs="宋体"/>
                <w:szCs w:val="21"/>
                <w:highlight w:val="none"/>
              </w:rPr>
              <w:t>□</w:t>
            </w:r>
            <w:r>
              <w:rPr>
                <w:rFonts w:eastAsia="黑体"/>
                <w:bCs/>
                <w:szCs w:val="21"/>
                <w:highlight w:val="none"/>
              </w:rPr>
              <w:t>由招标人支付</w:t>
            </w:r>
          </w:p>
          <w:p>
            <w:pPr>
              <w:spacing w:line="320" w:lineRule="atLeast"/>
              <w:rPr>
                <w:rFonts w:eastAsia="黑体"/>
                <w:szCs w:val="21"/>
                <w:highlight w:val="none"/>
              </w:rPr>
            </w:pPr>
            <w:r>
              <w:rPr>
                <w:rFonts w:hint="eastAsia"/>
                <w:szCs w:val="21"/>
                <w:highlight w:val="none"/>
              </w:rPr>
              <w:t>■</w:t>
            </w:r>
            <w:r>
              <w:rPr>
                <w:rFonts w:eastAsia="黑体"/>
                <w:bCs/>
                <w:szCs w:val="21"/>
                <w:highlight w:val="none"/>
              </w:rPr>
              <w:t>由中标人支付</w:t>
            </w:r>
          </w:p>
          <w:p>
            <w:pPr>
              <w:widowControl/>
              <w:spacing w:line="312" w:lineRule="auto"/>
              <w:ind w:firstLine="420" w:firstLineChars="200"/>
              <w:rPr>
                <w:highlight w:val="none"/>
              </w:rPr>
            </w:pPr>
            <w:r>
              <w:rPr>
                <w:rFonts w:eastAsia="黑体"/>
                <w:szCs w:val="21"/>
                <w:highlight w:val="none"/>
              </w:rPr>
              <w:t>招标代理费由中标人支付时，中标人在收到中标通知书时向招标代理机构直接支付（联合体中标的，由联合体牵头人支付），费用包含在其投标总报价中，不单独计列。招标代理服务费具体金额或计算办法为</w:t>
            </w:r>
            <w:r>
              <w:rPr>
                <w:rFonts w:ascii="黑体" w:hAnsi="黑体" w:eastAsia="黑体"/>
                <w:szCs w:val="21"/>
                <w:highlight w:val="none"/>
              </w:rPr>
              <w:t>：</w:t>
            </w:r>
            <w:r>
              <w:rPr>
                <w:rFonts w:hint="eastAsia" w:ascii="黑体" w:hAnsi="黑体" w:eastAsia="黑体"/>
                <w:b/>
                <w:bCs/>
                <w:highlight w:val="none"/>
              </w:rPr>
              <w:t>收费标准</w:t>
            </w:r>
            <w:r>
              <w:rPr>
                <w:rFonts w:ascii="黑体" w:hAnsi="黑体" w:eastAsia="黑体" w:cs="Arial"/>
                <w:b/>
                <w:bCs/>
                <w:highlight w:val="none"/>
              </w:rPr>
              <w:t>×</w:t>
            </w:r>
            <w:r>
              <w:rPr>
                <w:rFonts w:hint="eastAsia" w:ascii="黑体" w:hAnsi="黑体" w:eastAsia="黑体"/>
                <w:b/>
                <w:bCs/>
                <w:highlight w:val="none"/>
              </w:rPr>
              <w:t>0.82（含税价），收费标准如下：</w:t>
            </w:r>
          </w:p>
          <w:tbl>
            <w:tblPr>
              <w:tblStyle w:val="38"/>
              <w:tblW w:w="41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3"/>
              <w:gridCol w:w="950"/>
              <w:gridCol w:w="891"/>
              <w:gridCol w:w="950"/>
              <w:gridCol w:w="893"/>
              <w:gridCol w:w="950"/>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767" w:type="pct"/>
                  <w:vMerge w:val="restart"/>
                  <w:shd w:val="clear" w:color="auto" w:fill="auto"/>
                  <w:vAlign w:val="center"/>
                </w:tcPr>
                <w:p>
                  <w:pPr>
                    <w:widowControl/>
                    <w:jc w:val="center"/>
                    <w:textAlignment w:val="center"/>
                    <w:rPr>
                      <w:sz w:val="16"/>
                      <w:szCs w:val="16"/>
                      <w:highlight w:val="none"/>
                    </w:rPr>
                  </w:pPr>
                  <w:r>
                    <w:rPr>
                      <w:rFonts w:hint="eastAsia"/>
                      <w:sz w:val="16"/>
                      <w:szCs w:val="16"/>
                      <w:highlight w:val="none"/>
                      <w:lang w:bidi="ar"/>
                    </w:rPr>
                    <w:t>预估标的金额</w:t>
                  </w:r>
                </w:p>
                <w:p>
                  <w:pPr>
                    <w:widowControl/>
                    <w:jc w:val="center"/>
                    <w:textAlignment w:val="center"/>
                    <w:rPr>
                      <w:sz w:val="16"/>
                      <w:szCs w:val="16"/>
                      <w:highlight w:val="none"/>
                    </w:rPr>
                  </w:pPr>
                  <w:r>
                    <w:rPr>
                      <w:rFonts w:hint="eastAsia"/>
                      <w:sz w:val="16"/>
                      <w:szCs w:val="16"/>
                      <w:highlight w:val="none"/>
                      <w:lang w:bidi="ar"/>
                    </w:rPr>
                    <w:t>(万元)</w:t>
                  </w:r>
                </w:p>
                <w:p>
                  <w:pPr>
                    <w:pStyle w:val="21"/>
                    <w:ind w:firstLine="320"/>
                    <w:jc w:val="center"/>
                    <w:textAlignment w:val="center"/>
                    <w:rPr>
                      <w:sz w:val="16"/>
                      <w:szCs w:val="16"/>
                      <w:highlight w:val="none"/>
                    </w:rPr>
                  </w:pPr>
                </w:p>
              </w:tc>
              <w:tc>
                <w:tcPr>
                  <w:tcW w:w="4232" w:type="pct"/>
                  <w:gridSpan w:val="6"/>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767" w:type="pct"/>
                  <w:vMerge w:val="continue"/>
                  <w:shd w:val="clear" w:color="auto" w:fill="auto"/>
                  <w:vAlign w:val="center"/>
                </w:tcPr>
                <w:p>
                  <w:pPr>
                    <w:pStyle w:val="21"/>
                    <w:ind w:firstLine="320"/>
                    <w:jc w:val="center"/>
                    <w:textAlignment w:val="center"/>
                    <w:rPr>
                      <w:sz w:val="16"/>
                      <w:szCs w:val="16"/>
                      <w:highlight w:val="none"/>
                    </w:rPr>
                  </w:pPr>
                </w:p>
              </w:tc>
              <w:tc>
                <w:tcPr>
                  <w:tcW w:w="1407" w:type="pct"/>
                  <w:gridSpan w:val="2"/>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货物</w:t>
                  </w:r>
                </w:p>
              </w:tc>
              <w:tc>
                <w:tcPr>
                  <w:tcW w:w="1410" w:type="pct"/>
                  <w:gridSpan w:val="2"/>
                  <w:shd w:val="clear" w:color="auto" w:fill="auto"/>
                  <w:vAlign w:val="center"/>
                </w:tcPr>
                <w:p>
                  <w:pPr>
                    <w:pStyle w:val="21"/>
                    <w:ind w:firstLine="321"/>
                    <w:jc w:val="center"/>
                    <w:textAlignment w:val="center"/>
                    <w:rPr>
                      <w:sz w:val="16"/>
                      <w:szCs w:val="16"/>
                      <w:highlight w:val="none"/>
                    </w:rPr>
                  </w:pPr>
                  <w:r>
                    <w:rPr>
                      <w:rFonts w:hint="eastAsia"/>
                      <w:b/>
                      <w:bCs/>
                      <w:sz w:val="16"/>
                      <w:szCs w:val="16"/>
                      <w:highlight w:val="none"/>
                    </w:rPr>
                    <w:t>服务</w:t>
                  </w:r>
                </w:p>
              </w:tc>
              <w:tc>
                <w:tcPr>
                  <w:tcW w:w="1414" w:type="pct"/>
                  <w:gridSpan w:val="2"/>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767" w:type="pct"/>
                  <w:vMerge w:val="continue"/>
                  <w:shd w:val="clear" w:color="auto" w:fill="auto"/>
                  <w:vAlign w:val="center"/>
                </w:tcPr>
                <w:p>
                  <w:pPr>
                    <w:pStyle w:val="21"/>
                    <w:ind w:firstLine="320"/>
                    <w:jc w:val="center"/>
                    <w:textAlignment w:val="center"/>
                    <w:rPr>
                      <w:sz w:val="16"/>
                      <w:szCs w:val="16"/>
                      <w:highlight w:val="none"/>
                    </w:rPr>
                  </w:pPr>
                </w:p>
              </w:tc>
              <w:tc>
                <w:tcPr>
                  <w:tcW w:w="703"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费率</w:t>
                  </w:r>
                </w:p>
              </w:tc>
              <w:tc>
                <w:tcPr>
                  <w:tcW w:w="704"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最高上限价</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费率</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最高上限价</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费率</w:t>
                  </w:r>
                </w:p>
              </w:tc>
              <w:tc>
                <w:tcPr>
                  <w:tcW w:w="708"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最高上限价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767" w:type="pct"/>
                  <w:shd w:val="clear" w:color="auto" w:fill="auto"/>
                  <w:vAlign w:val="center"/>
                </w:tcPr>
                <w:p>
                  <w:pPr>
                    <w:widowControl/>
                    <w:jc w:val="center"/>
                    <w:textAlignment w:val="center"/>
                    <w:rPr>
                      <w:sz w:val="16"/>
                      <w:szCs w:val="16"/>
                      <w:highlight w:val="none"/>
                    </w:rPr>
                  </w:pPr>
                  <w:r>
                    <w:rPr>
                      <w:rFonts w:hint="eastAsia"/>
                      <w:sz w:val="16"/>
                      <w:szCs w:val="16"/>
                      <w:highlight w:val="none"/>
                      <w:lang w:bidi="ar"/>
                    </w:rPr>
                    <w:t>100 以下</w:t>
                  </w:r>
                </w:p>
                <w:p>
                  <w:pPr>
                    <w:pStyle w:val="21"/>
                    <w:ind w:firstLine="320"/>
                    <w:jc w:val="center"/>
                    <w:textAlignment w:val="center"/>
                    <w:rPr>
                      <w:sz w:val="16"/>
                      <w:szCs w:val="16"/>
                      <w:highlight w:val="none"/>
                    </w:rPr>
                  </w:pPr>
                </w:p>
              </w:tc>
              <w:tc>
                <w:tcPr>
                  <w:tcW w:w="703"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1.50%</w:t>
                  </w:r>
                </w:p>
              </w:tc>
              <w:tc>
                <w:tcPr>
                  <w:tcW w:w="704"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1.5</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1.50%</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1.5</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1.00%</w:t>
                  </w:r>
                </w:p>
              </w:tc>
              <w:tc>
                <w:tcPr>
                  <w:tcW w:w="708"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767" w:type="pct"/>
                  <w:shd w:val="clear" w:color="auto" w:fill="auto"/>
                  <w:vAlign w:val="center"/>
                </w:tcPr>
                <w:p>
                  <w:pPr>
                    <w:widowControl/>
                    <w:jc w:val="center"/>
                    <w:textAlignment w:val="center"/>
                    <w:rPr>
                      <w:sz w:val="16"/>
                      <w:szCs w:val="16"/>
                      <w:highlight w:val="none"/>
                    </w:rPr>
                  </w:pPr>
                  <w:r>
                    <w:rPr>
                      <w:rFonts w:hint="eastAsia"/>
                      <w:sz w:val="16"/>
                      <w:szCs w:val="16"/>
                      <w:highlight w:val="none"/>
                      <w:lang w:bidi="ar"/>
                    </w:rPr>
                    <w:t>100-500（含）</w:t>
                  </w:r>
                </w:p>
                <w:p>
                  <w:pPr>
                    <w:pStyle w:val="21"/>
                    <w:ind w:firstLine="320"/>
                    <w:jc w:val="center"/>
                    <w:textAlignment w:val="center"/>
                    <w:rPr>
                      <w:sz w:val="16"/>
                      <w:szCs w:val="16"/>
                      <w:highlight w:val="none"/>
                    </w:rPr>
                  </w:pPr>
                </w:p>
              </w:tc>
              <w:tc>
                <w:tcPr>
                  <w:tcW w:w="703"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1.10%</w:t>
                  </w:r>
                </w:p>
              </w:tc>
              <w:tc>
                <w:tcPr>
                  <w:tcW w:w="704"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5.9</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0.80%</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4.7</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0.70%</w:t>
                  </w:r>
                </w:p>
              </w:tc>
              <w:tc>
                <w:tcPr>
                  <w:tcW w:w="708"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767" w:type="pct"/>
                  <w:shd w:val="clear" w:color="auto" w:fill="auto"/>
                  <w:vAlign w:val="center"/>
                </w:tcPr>
                <w:p>
                  <w:pPr>
                    <w:widowControl/>
                    <w:jc w:val="center"/>
                    <w:textAlignment w:val="center"/>
                    <w:rPr>
                      <w:sz w:val="16"/>
                      <w:szCs w:val="16"/>
                      <w:highlight w:val="none"/>
                    </w:rPr>
                  </w:pPr>
                  <w:r>
                    <w:rPr>
                      <w:rFonts w:hint="eastAsia"/>
                      <w:sz w:val="16"/>
                      <w:szCs w:val="16"/>
                      <w:highlight w:val="none"/>
                      <w:lang w:bidi="ar"/>
                    </w:rPr>
                    <w:t>500-1000（含）</w:t>
                  </w:r>
                </w:p>
                <w:p>
                  <w:pPr>
                    <w:pStyle w:val="21"/>
                    <w:ind w:firstLine="320"/>
                    <w:jc w:val="center"/>
                    <w:textAlignment w:val="center"/>
                    <w:rPr>
                      <w:sz w:val="16"/>
                      <w:szCs w:val="16"/>
                      <w:highlight w:val="none"/>
                    </w:rPr>
                  </w:pPr>
                </w:p>
              </w:tc>
              <w:tc>
                <w:tcPr>
                  <w:tcW w:w="703"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0.35%</w:t>
                  </w:r>
                </w:p>
              </w:tc>
              <w:tc>
                <w:tcPr>
                  <w:tcW w:w="704"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7.65</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0.25%</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5.95</w:t>
                  </w: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0.55</w:t>
                  </w:r>
                </w:p>
              </w:tc>
              <w:tc>
                <w:tcPr>
                  <w:tcW w:w="708"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6.55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jc w:val="center"/>
              </w:trPr>
              <w:tc>
                <w:tcPr>
                  <w:tcW w:w="767" w:type="pct"/>
                  <w:shd w:val="clear" w:color="auto" w:fill="auto"/>
                  <w:vAlign w:val="center"/>
                </w:tcPr>
                <w:p>
                  <w:pPr>
                    <w:widowControl/>
                    <w:jc w:val="center"/>
                    <w:textAlignment w:val="center"/>
                    <w:rPr>
                      <w:sz w:val="16"/>
                      <w:szCs w:val="16"/>
                      <w:highlight w:val="none"/>
                    </w:rPr>
                  </w:pPr>
                  <w:r>
                    <w:rPr>
                      <w:rFonts w:hint="eastAsia"/>
                      <w:sz w:val="16"/>
                      <w:szCs w:val="16"/>
                      <w:highlight w:val="none"/>
                      <w:lang w:bidi="ar"/>
                    </w:rPr>
                    <w:t>&gt;1000</w:t>
                  </w:r>
                </w:p>
                <w:p>
                  <w:pPr>
                    <w:pStyle w:val="21"/>
                    <w:ind w:firstLine="320"/>
                    <w:jc w:val="center"/>
                    <w:textAlignment w:val="center"/>
                    <w:rPr>
                      <w:sz w:val="16"/>
                      <w:szCs w:val="16"/>
                      <w:highlight w:val="none"/>
                    </w:rPr>
                  </w:pPr>
                </w:p>
              </w:tc>
              <w:tc>
                <w:tcPr>
                  <w:tcW w:w="703" w:type="pct"/>
                  <w:shd w:val="clear" w:color="auto" w:fill="auto"/>
                  <w:vAlign w:val="center"/>
                </w:tcPr>
                <w:p>
                  <w:pPr>
                    <w:pStyle w:val="21"/>
                    <w:ind w:firstLine="320"/>
                    <w:jc w:val="center"/>
                    <w:textAlignment w:val="center"/>
                    <w:rPr>
                      <w:sz w:val="16"/>
                      <w:szCs w:val="16"/>
                      <w:highlight w:val="none"/>
                    </w:rPr>
                  </w:pPr>
                </w:p>
              </w:tc>
              <w:tc>
                <w:tcPr>
                  <w:tcW w:w="704"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8</w:t>
                  </w:r>
                </w:p>
              </w:tc>
              <w:tc>
                <w:tcPr>
                  <w:tcW w:w="705" w:type="pct"/>
                  <w:shd w:val="clear" w:color="auto" w:fill="auto"/>
                  <w:vAlign w:val="center"/>
                </w:tcPr>
                <w:p>
                  <w:pPr>
                    <w:pStyle w:val="21"/>
                    <w:ind w:firstLine="320"/>
                    <w:jc w:val="center"/>
                    <w:textAlignment w:val="center"/>
                    <w:rPr>
                      <w:sz w:val="16"/>
                      <w:szCs w:val="16"/>
                      <w:highlight w:val="none"/>
                    </w:rPr>
                  </w:pPr>
                </w:p>
              </w:tc>
              <w:tc>
                <w:tcPr>
                  <w:tcW w:w="705"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6</w:t>
                  </w:r>
                </w:p>
              </w:tc>
              <w:tc>
                <w:tcPr>
                  <w:tcW w:w="705" w:type="pct"/>
                  <w:shd w:val="clear" w:color="auto" w:fill="auto"/>
                  <w:vAlign w:val="center"/>
                </w:tcPr>
                <w:p>
                  <w:pPr>
                    <w:pStyle w:val="21"/>
                    <w:ind w:firstLine="320"/>
                    <w:jc w:val="center"/>
                    <w:textAlignment w:val="center"/>
                    <w:rPr>
                      <w:sz w:val="16"/>
                      <w:szCs w:val="16"/>
                      <w:highlight w:val="none"/>
                    </w:rPr>
                  </w:pPr>
                </w:p>
              </w:tc>
              <w:tc>
                <w:tcPr>
                  <w:tcW w:w="708" w:type="pct"/>
                  <w:shd w:val="clear" w:color="auto" w:fill="auto"/>
                  <w:vAlign w:val="center"/>
                </w:tcPr>
                <w:p>
                  <w:pPr>
                    <w:pStyle w:val="21"/>
                    <w:ind w:firstLine="320"/>
                    <w:jc w:val="center"/>
                    <w:textAlignment w:val="center"/>
                    <w:rPr>
                      <w:sz w:val="16"/>
                      <w:szCs w:val="16"/>
                      <w:highlight w:val="none"/>
                    </w:rPr>
                  </w:pPr>
                  <w:r>
                    <w:rPr>
                      <w:rFonts w:hint="eastAsia"/>
                      <w:sz w:val="16"/>
                      <w:szCs w:val="16"/>
                      <w:highlight w:val="none"/>
                    </w:rPr>
                    <w:t>12</w:t>
                  </w:r>
                </w:p>
              </w:tc>
            </w:tr>
          </w:tbl>
          <w:p>
            <w:pPr>
              <w:pStyle w:val="21"/>
              <w:rPr>
                <w:sz w:val="21"/>
                <w:szCs w:val="21"/>
                <w:highlight w:val="none"/>
              </w:rPr>
            </w:pPr>
            <w:r>
              <w:rPr>
                <w:rFonts w:hint="eastAsia"/>
                <w:sz w:val="21"/>
                <w:szCs w:val="21"/>
                <w:highlight w:val="none"/>
              </w:rPr>
              <w:t>注：1.评标(审)专家的评标(审)费(含交通住宿、餐费等一切相关费用)以及为完成招标 采购活动的所有相关费用均包括在招标代理服务费中。</w:t>
            </w:r>
          </w:p>
          <w:p>
            <w:pPr>
              <w:pStyle w:val="21"/>
              <w:ind w:firstLine="420" w:firstLineChars="200"/>
              <w:rPr>
                <w:sz w:val="21"/>
                <w:szCs w:val="21"/>
                <w:highlight w:val="none"/>
              </w:rPr>
            </w:pPr>
            <w:r>
              <w:rPr>
                <w:rFonts w:hint="eastAsia"/>
                <w:sz w:val="21"/>
                <w:szCs w:val="21"/>
                <w:highlight w:val="none"/>
              </w:rPr>
              <w:t xml:space="preserve">2.若预估标的金额为 1000 万元及以下,招标代理服务费按差额定率累进法计算。例如:某工程招标代理业务中标金额为800 万元,计算招标代理服务收费额如下: </w:t>
            </w:r>
          </w:p>
          <w:p>
            <w:pPr>
              <w:pStyle w:val="21"/>
              <w:rPr>
                <w:sz w:val="21"/>
                <w:szCs w:val="21"/>
                <w:highlight w:val="none"/>
              </w:rPr>
            </w:pPr>
            <w:r>
              <w:rPr>
                <w:rFonts w:hint="eastAsia"/>
                <w:sz w:val="21"/>
                <w:szCs w:val="21"/>
                <w:highlight w:val="none"/>
              </w:rPr>
              <w:t xml:space="preserve">100 万元× 1.0%=1 万元 </w:t>
            </w:r>
          </w:p>
          <w:p>
            <w:pPr>
              <w:pStyle w:val="21"/>
              <w:rPr>
                <w:sz w:val="21"/>
                <w:szCs w:val="21"/>
                <w:highlight w:val="none"/>
              </w:rPr>
            </w:pPr>
            <w:r>
              <w:rPr>
                <w:rFonts w:hint="eastAsia"/>
                <w:sz w:val="21"/>
                <w:szCs w:val="21"/>
                <w:highlight w:val="none"/>
              </w:rPr>
              <w:t xml:space="preserve">(500-100)万元×0.7%=2.8 万元 </w:t>
            </w:r>
          </w:p>
          <w:p>
            <w:pPr>
              <w:pStyle w:val="21"/>
              <w:rPr>
                <w:sz w:val="21"/>
                <w:szCs w:val="21"/>
                <w:highlight w:val="none"/>
              </w:rPr>
            </w:pPr>
            <w:r>
              <w:rPr>
                <w:rFonts w:hint="eastAsia"/>
                <w:sz w:val="21"/>
                <w:szCs w:val="21"/>
                <w:highlight w:val="none"/>
              </w:rPr>
              <w:t xml:space="preserve">(800-500)×0.55%=1.65 万元 </w:t>
            </w:r>
          </w:p>
          <w:p>
            <w:pPr>
              <w:pStyle w:val="21"/>
              <w:rPr>
                <w:sz w:val="21"/>
                <w:szCs w:val="21"/>
                <w:highlight w:val="none"/>
              </w:rPr>
            </w:pPr>
            <w:r>
              <w:rPr>
                <w:rFonts w:hint="eastAsia"/>
                <w:sz w:val="21"/>
                <w:szCs w:val="21"/>
                <w:highlight w:val="none"/>
              </w:rPr>
              <w:t>合计收费=1+2.8+1.65=5.45(万元)</w:t>
            </w:r>
          </w:p>
          <w:p>
            <w:pPr>
              <w:spacing w:line="360" w:lineRule="atLeast"/>
              <w:rPr>
                <w:szCs w:val="21"/>
                <w:highlight w:val="none"/>
              </w:rPr>
            </w:pPr>
            <w:r>
              <w:rPr>
                <w:rFonts w:hint="eastAsia"/>
                <w:szCs w:val="21"/>
                <w:highlight w:val="none"/>
              </w:rPr>
              <w:t>预估标的金额 1000 万元以上时,招标代理服务费上限价为工程 12 万元/同一事项;货物8 万元/同一事项;服务6 万元/同一事项;从国家重点公路建设项目评标专家库抽取专家时,在前述标准上,增加8 万元。</w:t>
            </w:r>
          </w:p>
        </w:tc>
      </w:tr>
    </w:tbl>
    <w:p>
      <w:pPr>
        <w:spacing w:line="360" w:lineRule="auto"/>
        <w:jc w:val="center"/>
        <w:rPr>
          <w:rFonts w:ascii="黑体" w:eastAsia="黑体"/>
          <w:highlight w:val="none"/>
        </w:rPr>
      </w:pPr>
      <w:r>
        <w:rPr>
          <w:position w:val="0"/>
          <w:szCs w:val="21"/>
          <w:highlight w:val="none"/>
        </w:rPr>
        <w:br w:type="page"/>
      </w:r>
      <w:bookmarkStart w:id="18" w:name="_Toc337747186"/>
      <w:bookmarkStart w:id="19" w:name="_Toc337561660"/>
      <w:r>
        <w:rPr>
          <w:rFonts w:hint="eastAsia" w:ascii="黑体" w:eastAsia="黑体"/>
          <w:b/>
          <w:sz w:val="28"/>
          <w:szCs w:val="28"/>
          <w:highlight w:val="none"/>
        </w:rPr>
        <w:t>附录1   资格审查条件（资质最低条件）</w:t>
      </w:r>
      <w:bookmarkEnd w:id="18"/>
      <w:bookmarkEnd w:id="19"/>
    </w:p>
    <w:tbl>
      <w:tblPr>
        <w:tblStyle w:val="38"/>
        <w:tblW w:w="4999" w:type="pct"/>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639"/>
        <w:gridCol w:w="7363"/>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516" w:hRule="atLeast"/>
          <w:jc w:val="center"/>
        </w:trPr>
        <w:tc>
          <w:tcPr>
            <w:tcW w:w="910" w:type="pc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标段</w:t>
            </w:r>
          </w:p>
        </w:tc>
        <w:tc>
          <w:tcPr>
            <w:tcW w:w="4089" w:type="pc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企业资质等级要求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3306" w:hRule="atLeast"/>
          <w:jc w:val="center"/>
        </w:trPr>
        <w:tc>
          <w:tcPr>
            <w:tcW w:w="910" w:type="pct"/>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left"/>
              <w:rPr>
                <w:rFonts w:ascii="宋体" w:hAnsi="宋体"/>
                <w:position w:val="0"/>
                <w:sz w:val="24"/>
                <w:highlight w:val="none"/>
              </w:rPr>
            </w:pPr>
            <w:r>
              <w:rPr>
                <w:rFonts w:hint="eastAsia" w:ascii="宋体" w:hAnsi="宋体" w:cs="宋体"/>
                <w:sz w:val="24"/>
                <w:szCs w:val="24"/>
                <w:highlight w:val="none"/>
              </w:rPr>
              <w:t>1标段（水土保持监测）</w:t>
            </w:r>
          </w:p>
        </w:tc>
        <w:tc>
          <w:tcPr>
            <w:tcW w:w="4089" w:type="pct"/>
            <w:tcBorders>
              <w:top w:val="single" w:color="000000" w:sz="4" w:space="0"/>
              <w:left w:val="single" w:color="000000" w:sz="4" w:space="0"/>
              <w:bottom w:val="single" w:color="000000" w:sz="4" w:space="0"/>
              <w:right w:val="single" w:color="000000" w:sz="4" w:space="0"/>
            </w:tcBorders>
            <w:vAlign w:val="center"/>
          </w:tcPr>
          <w:p>
            <w:pPr>
              <w:widowControl/>
              <w:ind w:firstLine="480" w:firstLineChars="200"/>
              <w:jc w:val="left"/>
              <w:rPr>
                <w:rFonts w:ascii="宋体" w:hAnsi="宋体"/>
                <w:position w:val="0"/>
                <w:sz w:val="24"/>
                <w:highlight w:val="none"/>
              </w:rPr>
            </w:pPr>
            <w:r>
              <w:rPr>
                <w:rFonts w:hint="eastAsia" w:ascii="宋体" w:hAnsi="宋体"/>
                <w:position w:val="0"/>
                <w:sz w:val="24"/>
                <w:highlight w:val="none"/>
              </w:rPr>
              <w:t>应同时满足：</w:t>
            </w:r>
          </w:p>
          <w:p>
            <w:pPr>
              <w:pStyle w:val="87"/>
              <w:spacing w:line="440" w:lineRule="exact"/>
              <w:ind w:firstLine="480" w:firstLineChars="200"/>
              <w:rPr>
                <w:rFonts w:ascii="宋体" w:hAnsi="宋体"/>
                <w:sz w:val="24"/>
                <w:highlight w:val="none"/>
              </w:rPr>
            </w:pPr>
            <w:r>
              <w:rPr>
                <w:rFonts w:hint="eastAsia" w:ascii="宋体" w:hAnsi="宋体" w:cs="宋体"/>
                <w:sz w:val="24"/>
                <w:szCs w:val="24"/>
                <w:highlight w:val="none"/>
              </w:rPr>
              <w:t>（1）具备独立法人资格，</w:t>
            </w:r>
            <w:r>
              <w:rPr>
                <w:rFonts w:hint="eastAsia" w:ascii="宋体" w:hAnsi="宋体" w:cs="宋体"/>
                <w:sz w:val="24"/>
                <w:szCs w:val="24"/>
                <w:highlight w:val="none"/>
                <w:lang w:val="en-US" w:eastAsia="zh-CN"/>
              </w:rPr>
              <w:t>具</w:t>
            </w:r>
            <w:r>
              <w:rPr>
                <w:rFonts w:hint="eastAsia" w:ascii="宋体" w:hAnsi="宋体" w:cs="宋体"/>
                <w:sz w:val="24"/>
                <w:szCs w:val="24"/>
                <w:highlight w:val="none"/>
              </w:rPr>
              <w:t>有有效的营业执照（或事业单位法人证书,或社会团体法人登记证书）（投标人为企业的，还应具备组织机构代码证，按照“三证合一”或“五证合一”登记制度进行登记的，可仅提供营业执照副本；投标人为依法允许经营的事业单位的，应具有事业单位法人证书和组织机构代码证，下同）；</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331" w:hRule="atLeast"/>
          <w:jc w:val="center"/>
        </w:trPr>
        <w:tc>
          <w:tcPr>
            <w:tcW w:w="910" w:type="pct"/>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left"/>
              <w:rPr>
                <w:rFonts w:ascii="宋体" w:hAnsi="宋体"/>
                <w:position w:val="0"/>
                <w:sz w:val="24"/>
                <w:highlight w:val="none"/>
              </w:rPr>
            </w:pPr>
            <w:r>
              <w:rPr>
                <w:rFonts w:hint="eastAsia" w:ascii="宋体" w:hAnsi="宋体" w:cs="宋体"/>
                <w:sz w:val="24"/>
                <w:szCs w:val="24"/>
                <w:highlight w:val="none"/>
              </w:rPr>
              <w:t>2标段（环境监测服务）</w:t>
            </w:r>
          </w:p>
        </w:tc>
        <w:tc>
          <w:tcPr>
            <w:tcW w:w="4089" w:type="pct"/>
            <w:tcBorders>
              <w:top w:val="single" w:color="000000" w:sz="4" w:space="0"/>
              <w:left w:val="single" w:color="000000" w:sz="4" w:space="0"/>
              <w:bottom w:val="single" w:color="000000" w:sz="4" w:space="0"/>
              <w:right w:val="single" w:color="000000" w:sz="4" w:space="0"/>
            </w:tcBorders>
            <w:vAlign w:val="center"/>
          </w:tcPr>
          <w:p>
            <w:pPr>
              <w:widowControl/>
              <w:ind w:firstLine="480" w:firstLineChars="200"/>
              <w:jc w:val="left"/>
              <w:rPr>
                <w:rFonts w:ascii="宋体" w:hAnsi="宋体"/>
                <w:position w:val="0"/>
                <w:sz w:val="24"/>
                <w:highlight w:val="none"/>
              </w:rPr>
            </w:pPr>
            <w:r>
              <w:rPr>
                <w:rFonts w:hint="eastAsia" w:ascii="宋体" w:hAnsi="宋体"/>
                <w:position w:val="0"/>
                <w:sz w:val="24"/>
                <w:highlight w:val="none"/>
              </w:rPr>
              <w:t>应同时满足：</w:t>
            </w:r>
          </w:p>
          <w:p>
            <w:pPr>
              <w:pStyle w:val="87"/>
              <w:spacing w:line="440" w:lineRule="exact"/>
              <w:rPr>
                <w:rFonts w:ascii="宋体" w:hAnsi="宋体" w:cs="宋体"/>
                <w:sz w:val="24"/>
                <w:szCs w:val="24"/>
                <w:highlight w:val="none"/>
              </w:rPr>
            </w:pPr>
            <w:r>
              <w:rPr>
                <w:rFonts w:hint="eastAsia" w:ascii="宋体" w:hAnsi="宋体" w:cs="宋体"/>
                <w:sz w:val="24"/>
                <w:szCs w:val="24"/>
                <w:highlight w:val="none"/>
              </w:rPr>
              <w:t>（1）具备独立法人资格，</w:t>
            </w:r>
            <w:r>
              <w:rPr>
                <w:rFonts w:hint="eastAsia" w:ascii="宋体" w:hAnsi="宋体" w:cs="宋体"/>
                <w:sz w:val="24"/>
                <w:szCs w:val="24"/>
                <w:highlight w:val="none"/>
                <w:lang w:val="en-US" w:eastAsia="zh-CN"/>
              </w:rPr>
              <w:t>具有</w:t>
            </w:r>
            <w:r>
              <w:rPr>
                <w:rFonts w:hint="eastAsia" w:ascii="宋体" w:hAnsi="宋体" w:cs="宋体"/>
                <w:sz w:val="24"/>
                <w:szCs w:val="24"/>
                <w:highlight w:val="none"/>
              </w:rPr>
              <w:t>有效的营业执照（或事业单位法人证书,或社会团体法人登记证书）（投标人为企业的，还应具备组织机构代码证，按照“三证合一”或“五证合一”登记制度进行登记的，可仅提供营业执照副本；投标人为依法允许经营的事业单位的，应具有事业单位法人证书和组织机构代码证，下同）；</w:t>
            </w:r>
          </w:p>
          <w:p>
            <w:pPr>
              <w:pStyle w:val="87"/>
              <w:spacing w:line="440" w:lineRule="exact"/>
              <w:rPr>
                <w:rFonts w:ascii="宋体" w:hAnsi="宋体" w:cs="宋体"/>
                <w:sz w:val="24"/>
                <w:szCs w:val="24"/>
                <w:highlight w:val="none"/>
              </w:rPr>
            </w:pPr>
            <w:r>
              <w:rPr>
                <w:rFonts w:hint="eastAsia" w:ascii="宋体" w:hAnsi="宋体" w:cs="宋体"/>
                <w:sz w:val="24"/>
                <w:szCs w:val="24"/>
                <w:highlight w:val="none"/>
              </w:rPr>
              <w:t xml:space="preserve">（2）具备省级及以上检验检测机构资质认定证书（证书附表批准的能力范围含环境类别）。投标人或投标人的下属机构（包括分公司、全资子公司、不具有法人资格的下设机构等）取得的检验检测机构资质认定证书，均可认定为投标人的检验检测机构资质认定证书； </w:t>
            </w:r>
          </w:p>
        </w:tc>
      </w:tr>
    </w:tbl>
    <w:p>
      <w:pPr>
        <w:widowControl/>
        <w:jc w:val="left"/>
        <w:rPr>
          <w:rFonts w:ascii="黑体" w:eastAsia="黑体"/>
          <w:sz w:val="24"/>
          <w:highlight w:val="none"/>
        </w:rPr>
      </w:pPr>
    </w:p>
    <w:p>
      <w:pPr>
        <w:widowControl/>
        <w:jc w:val="center"/>
        <w:rPr>
          <w:rFonts w:ascii="黑体" w:eastAsia="黑体"/>
          <w:sz w:val="24"/>
          <w:highlight w:val="none"/>
        </w:rPr>
      </w:pPr>
    </w:p>
    <w:p>
      <w:pPr>
        <w:pStyle w:val="11"/>
        <w:rPr>
          <w:rFonts w:ascii="黑体" w:eastAsia="黑体"/>
          <w:sz w:val="24"/>
          <w:highlight w:val="none"/>
        </w:rPr>
      </w:pPr>
    </w:p>
    <w:p>
      <w:pPr>
        <w:pStyle w:val="11"/>
        <w:rPr>
          <w:rFonts w:ascii="黑体" w:eastAsia="黑体"/>
          <w:sz w:val="24"/>
          <w:highlight w:val="none"/>
        </w:rPr>
      </w:pPr>
    </w:p>
    <w:p>
      <w:pPr>
        <w:widowControl/>
        <w:jc w:val="center"/>
        <w:rPr>
          <w:rFonts w:ascii="黑体" w:eastAsia="黑体"/>
          <w:sz w:val="24"/>
          <w:highlight w:val="none"/>
        </w:rPr>
      </w:pPr>
    </w:p>
    <w:p>
      <w:pPr>
        <w:rPr>
          <w:rFonts w:ascii="黑体" w:eastAsia="黑体"/>
          <w:sz w:val="28"/>
          <w:szCs w:val="28"/>
          <w:highlight w:val="none"/>
        </w:rPr>
      </w:pPr>
      <w:bookmarkStart w:id="20" w:name="_Toc337747187"/>
      <w:bookmarkStart w:id="21" w:name="_Toc237060980"/>
      <w:bookmarkStart w:id="22" w:name="_Toc337561661"/>
      <w:r>
        <w:rPr>
          <w:rFonts w:hint="eastAsia" w:ascii="黑体" w:eastAsia="黑体"/>
          <w:sz w:val="28"/>
          <w:szCs w:val="28"/>
          <w:highlight w:val="none"/>
        </w:rPr>
        <w:br w:type="page"/>
      </w:r>
    </w:p>
    <w:p>
      <w:pPr>
        <w:widowControl/>
        <w:jc w:val="center"/>
        <w:rPr>
          <w:rFonts w:ascii="黑体" w:eastAsia="黑体"/>
          <w:b/>
          <w:sz w:val="28"/>
          <w:szCs w:val="28"/>
          <w:highlight w:val="none"/>
        </w:rPr>
      </w:pPr>
      <w:r>
        <w:rPr>
          <w:rFonts w:hint="eastAsia" w:ascii="黑体" w:eastAsia="黑体"/>
          <w:sz w:val="28"/>
          <w:szCs w:val="28"/>
          <w:highlight w:val="none"/>
        </w:rPr>
        <w:t xml:space="preserve">附录2   </w:t>
      </w:r>
      <w:bookmarkEnd w:id="20"/>
      <w:bookmarkEnd w:id="21"/>
      <w:bookmarkEnd w:id="22"/>
      <w:bookmarkStart w:id="23" w:name="_Toc337561662"/>
      <w:bookmarkStart w:id="24" w:name="_Toc337747188"/>
      <w:r>
        <w:rPr>
          <w:rFonts w:hint="eastAsia" w:ascii="黑体" w:eastAsia="黑体"/>
          <w:b/>
          <w:sz w:val="28"/>
          <w:szCs w:val="28"/>
          <w:highlight w:val="none"/>
        </w:rPr>
        <w:t xml:space="preserve"> 资格审查条件（业绩最低条件）</w:t>
      </w:r>
      <w:bookmarkEnd w:id="23"/>
      <w:bookmarkEnd w:id="24"/>
    </w:p>
    <w:tbl>
      <w:tblPr>
        <w:tblStyle w:val="38"/>
        <w:tblW w:w="4999" w:type="pct"/>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518"/>
        <w:gridCol w:w="7484"/>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516" w:hRule="atLeast"/>
          <w:jc w:val="center"/>
        </w:trPr>
        <w:tc>
          <w:tcPr>
            <w:tcW w:w="843" w:type="pc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标段</w:t>
            </w:r>
          </w:p>
        </w:tc>
        <w:tc>
          <w:tcPr>
            <w:tcW w:w="4156" w:type="pct"/>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业 绩 要 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266" w:hRule="atLeast"/>
          <w:jc w:val="center"/>
        </w:trPr>
        <w:tc>
          <w:tcPr>
            <w:tcW w:w="843" w:type="pct"/>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center"/>
              <w:rPr>
                <w:rFonts w:ascii="宋体" w:hAnsi="宋体"/>
                <w:position w:val="0"/>
                <w:sz w:val="24"/>
                <w:highlight w:val="none"/>
              </w:rPr>
            </w:pPr>
            <w:r>
              <w:rPr>
                <w:rFonts w:hint="eastAsia" w:ascii="宋体" w:hAnsi="宋体" w:cs="宋体"/>
                <w:sz w:val="24"/>
                <w:szCs w:val="24"/>
                <w:highlight w:val="none"/>
              </w:rPr>
              <w:t>1标段（水土保持监测）</w:t>
            </w:r>
          </w:p>
        </w:tc>
        <w:tc>
          <w:tcPr>
            <w:tcW w:w="4156" w:type="pct"/>
            <w:tcBorders>
              <w:top w:val="single" w:color="000000" w:sz="4" w:space="0"/>
              <w:left w:val="single" w:color="000000" w:sz="4" w:space="0"/>
              <w:bottom w:val="single" w:color="000000" w:sz="4" w:space="0"/>
              <w:right w:val="single" w:color="000000" w:sz="4" w:space="0"/>
            </w:tcBorders>
            <w:vAlign w:val="center"/>
          </w:tcPr>
          <w:p>
            <w:pPr>
              <w:widowControl/>
              <w:jc w:val="left"/>
              <w:rPr>
                <w:highlight w:val="none"/>
              </w:rPr>
            </w:pPr>
            <w:r>
              <w:rPr>
                <w:rFonts w:hint="eastAsia" w:ascii="宋体" w:hAnsi="宋体"/>
                <w:position w:val="0"/>
                <w:sz w:val="24"/>
                <w:highlight w:val="none"/>
              </w:rPr>
              <w:t>近5年（2018年 5 月 1 日至 2023 年 5 月 1 日）至少独立承担过1个交通运输类建设项目的水土保持监测工作。</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266" w:hRule="atLeast"/>
          <w:jc w:val="center"/>
        </w:trPr>
        <w:tc>
          <w:tcPr>
            <w:tcW w:w="843" w:type="pct"/>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center"/>
              <w:rPr>
                <w:rFonts w:ascii="宋体" w:hAnsi="宋体"/>
                <w:position w:val="0"/>
                <w:sz w:val="24"/>
                <w:highlight w:val="none"/>
              </w:rPr>
            </w:pPr>
            <w:r>
              <w:rPr>
                <w:rFonts w:hint="eastAsia" w:ascii="宋体" w:hAnsi="宋体" w:cs="宋体"/>
                <w:sz w:val="24"/>
                <w:szCs w:val="24"/>
                <w:highlight w:val="none"/>
              </w:rPr>
              <w:t>2标段（环境监测服务）</w:t>
            </w:r>
          </w:p>
        </w:tc>
        <w:tc>
          <w:tcPr>
            <w:tcW w:w="4156" w:type="pct"/>
            <w:tcBorders>
              <w:top w:val="single" w:color="000000" w:sz="4" w:space="0"/>
              <w:left w:val="single" w:color="000000" w:sz="4" w:space="0"/>
              <w:bottom w:val="single" w:color="000000" w:sz="4" w:space="0"/>
              <w:right w:val="single" w:color="000000" w:sz="4" w:space="0"/>
            </w:tcBorders>
            <w:vAlign w:val="center"/>
          </w:tcPr>
          <w:p>
            <w:pPr>
              <w:pStyle w:val="11"/>
              <w:jc w:val="both"/>
              <w:rPr>
                <w:rFonts w:ascii="宋体" w:hAnsi="宋体"/>
                <w:position w:val="0"/>
                <w:sz w:val="24"/>
                <w:highlight w:val="none"/>
              </w:rPr>
            </w:pPr>
            <w:r>
              <w:rPr>
                <w:rFonts w:hint="eastAsia" w:ascii="宋体" w:hAnsi="宋体"/>
                <w:position w:val="0"/>
                <w:sz w:val="24"/>
                <w:highlight w:val="none"/>
              </w:rPr>
              <w:t>近5年（2018年 5 月 1 日至 2023 年 5 月 1 日）至少独立承担过1个环境监测工作。</w:t>
            </w:r>
          </w:p>
        </w:tc>
      </w:tr>
    </w:tbl>
    <w:p>
      <w:pPr>
        <w:widowControl/>
        <w:ind w:firstLine="420" w:firstLineChars="200"/>
        <w:jc w:val="left"/>
        <w:rPr>
          <w:rFonts w:ascii="黑体" w:eastAsia="黑体"/>
          <w:szCs w:val="21"/>
          <w:highlight w:val="none"/>
        </w:rPr>
      </w:pPr>
      <w:r>
        <w:rPr>
          <w:rFonts w:hint="eastAsia" w:ascii="黑体" w:eastAsia="黑体"/>
          <w:szCs w:val="21"/>
          <w:highlight w:val="none"/>
        </w:rPr>
        <w:t>注：1. 提供中标通知书或合同协议书扫描件，时间以中标通知书或合同协议书中载明的时间为准。</w:t>
      </w:r>
    </w:p>
    <w:p>
      <w:pPr>
        <w:widowControl/>
        <w:jc w:val="left"/>
        <w:rPr>
          <w:rFonts w:ascii="黑体" w:eastAsia="黑体"/>
          <w:sz w:val="24"/>
          <w:highlight w:val="none"/>
        </w:rPr>
      </w:pPr>
    </w:p>
    <w:p>
      <w:pPr>
        <w:rPr>
          <w:rFonts w:ascii="黑体" w:eastAsia="黑体"/>
          <w:sz w:val="28"/>
          <w:szCs w:val="28"/>
          <w:highlight w:val="none"/>
        </w:rPr>
      </w:pPr>
      <w:bookmarkStart w:id="25" w:name="_Toc337561663"/>
      <w:bookmarkStart w:id="26" w:name="_Toc337747189"/>
      <w:r>
        <w:rPr>
          <w:rFonts w:hint="eastAsia" w:ascii="黑体" w:eastAsia="黑体"/>
          <w:sz w:val="28"/>
          <w:szCs w:val="28"/>
          <w:highlight w:val="none"/>
        </w:rPr>
        <w:br w:type="page"/>
      </w:r>
    </w:p>
    <w:p>
      <w:pPr>
        <w:spacing w:line="360" w:lineRule="auto"/>
        <w:ind w:firstLine="560" w:firstLineChars="200"/>
        <w:rPr>
          <w:rFonts w:ascii="黑体" w:eastAsia="黑体"/>
          <w:sz w:val="28"/>
          <w:szCs w:val="28"/>
          <w:highlight w:val="none"/>
        </w:rPr>
      </w:pPr>
      <w:bookmarkStart w:id="27" w:name="_Toc21791"/>
      <w:bookmarkStart w:id="28" w:name="_Toc12182"/>
      <w:r>
        <w:rPr>
          <w:rFonts w:hint="eastAsia" w:ascii="黑体" w:eastAsia="黑体"/>
          <w:sz w:val="28"/>
          <w:szCs w:val="28"/>
          <w:highlight w:val="none"/>
        </w:rPr>
        <w:t>附录3   资格审查条件（信誉最低条件）</w:t>
      </w:r>
      <w:bookmarkEnd w:id="25"/>
      <w:bookmarkEnd w:id="26"/>
      <w:bookmarkEnd w:id="27"/>
      <w:bookmarkEnd w:id="28"/>
    </w:p>
    <w:tbl>
      <w:tblPr>
        <w:tblStyle w:val="38"/>
        <w:tblW w:w="4999" w:type="pct"/>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1431"/>
        <w:gridCol w:w="7571"/>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455" w:hRule="atLeast"/>
          <w:jc w:val="center"/>
        </w:trPr>
        <w:tc>
          <w:tcPr>
            <w:tcW w:w="795" w:type="pc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标段</w:t>
            </w:r>
          </w:p>
        </w:tc>
        <w:tc>
          <w:tcPr>
            <w:tcW w:w="4204" w:type="pc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信 誉 要 求</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1028" w:hRule="atLeast"/>
          <w:jc w:val="center"/>
        </w:trPr>
        <w:tc>
          <w:tcPr>
            <w:tcW w:w="795" w:type="pct"/>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center"/>
              <w:rPr>
                <w:rFonts w:ascii="宋体" w:hAnsi="宋体"/>
                <w:position w:val="0"/>
                <w:sz w:val="24"/>
                <w:highlight w:val="none"/>
              </w:rPr>
            </w:pPr>
            <w:r>
              <w:rPr>
                <w:rFonts w:hint="eastAsia" w:ascii="宋体" w:hAnsi="宋体"/>
                <w:position w:val="0"/>
                <w:sz w:val="24"/>
                <w:highlight w:val="none"/>
              </w:rPr>
              <w:t>1-2标段</w:t>
            </w:r>
          </w:p>
        </w:tc>
        <w:tc>
          <w:tcPr>
            <w:tcW w:w="4204" w:type="pct"/>
            <w:tcBorders>
              <w:top w:val="single" w:color="000000" w:sz="4" w:space="0"/>
              <w:left w:val="single" w:color="000000" w:sz="4" w:space="0"/>
              <w:bottom w:val="single" w:color="000000" w:sz="4" w:space="0"/>
              <w:right w:val="single" w:color="000000" w:sz="4" w:space="0"/>
            </w:tcBorders>
            <w:vAlign w:val="center"/>
          </w:tcPr>
          <w:p>
            <w:pPr>
              <w:widowControl/>
              <w:ind w:firstLine="480" w:firstLineChars="200"/>
              <w:jc w:val="left"/>
              <w:rPr>
                <w:rFonts w:ascii="宋体" w:hAnsi="宋体"/>
                <w:position w:val="0"/>
                <w:sz w:val="24"/>
                <w:highlight w:val="none"/>
              </w:rPr>
            </w:pPr>
            <w:r>
              <w:rPr>
                <w:rFonts w:hint="eastAsia" w:ascii="宋体" w:hAnsi="宋体"/>
                <w:position w:val="0"/>
                <w:sz w:val="24"/>
                <w:highlight w:val="none"/>
              </w:rPr>
              <w:t>应同时满足：</w:t>
            </w:r>
          </w:p>
          <w:p>
            <w:pPr>
              <w:widowControl/>
              <w:ind w:firstLine="480" w:firstLineChars="200"/>
              <w:jc w:val="left"/>
              <w:rPr>
                <w:rFonts w:ascii="宋体" w:hAnsi="宋体"/>
                <w:sz w:val="24"/>
                <w:highlight w:val="none"/>
              </w:rPr>
            </w:pPr>
            <w:r>
              <w:rPr>
                <w:rFonts w:hint="eastAsia" w:ascii="宋体" w:hAnsi="宋体"/>
                <w:sz w:val="24"/>
                <w:highlight w:val="none"/>
              </w:rPr>
              <w:t>1.投标人在最近一年度《公路水运工程试验检测管理信息系统》信用评价结果未被评为D级；</w:t>
            </w:r>
          </w:p>
          <w:p>
            <w:pPr>
              <w:widowControl/>
              <w:ind w:firstLine="480" w:firstLineChars="200"/>
              <w:jc w:val="left"/>
              <w:rPr>
                <w:rFonts w:ascii="宋体" w:hAnsi="宋体"/>
                <w:sz w:val="24"/>
                <w:highlight w:val="none"/>
              </w:rPr>
            </w:pPr>
            <w:r>
              <w:rPr>
                <w:rFonts w:hint="eastAsia" w:ascii="宋体" w:hAnsi="宋体"/>
                <w:sz w:val="24"/>
                <w:highlight w:val="none"/>
              </w:rPr>
              <w:t>2</w:t>
            </w:r>
            <w:r>
              <w:rPr>
                <w:rFonts w:ascii="宋体" w:hAnsi="宋体"/>
                <w:sz w:val="24"/>
                <w:highlight w:val="none"/>
              </w:rPr>
              <w:t>.</w:t>
            </w:r>
            <w:r>
              <w:rPr>
                <w:rFonts w:hint="eastAsia" w:ascii="宋体" w:hAnsi="宋体"/>
                <w:sz w:val="24"/>
                <w:highlight w:val="none"/>
              </w:rPr>
              <w:t>未被交通运输部或湖南省交通运输厅因发生骗取中标或严重违约受到处罚且处于有效期内；</w:t>
            </w:r>
          </w:p>
          <w:p>
            <w:pPr>
              <w:widowControl/>
              <w:ind w:firstLine="480" w:firstLineChars="200"/>
              <w:jc w:val="left"/>
              <w:rPr>
                <w:rFonts w:ascii="宋体" w:hAnsi="宋体"/>
                <w:position w:val="0"/>
                <w:sz w:val="24"/>
                <w:highlight w:val="none"/>
              </w:rPr>
            </w:pPr>
            <w:r>
              <w:rPr>
                <w:rFonts w:hint="eastAsia" w:ascii="宋体" w:hAnsi="宋体"/>
                <w:sz w:val="24"/>
                <w:highlight w:val="none"/>
              </w:rPr>
              <w:t>3.未</w:t>
            </w:r>
            <w:r>
              <w:rPr>
                <w:rFonts w:ascii="宋体" w:hAnsi="宋体"/>
                <w:sz w:val="24"/>
                <w:highlight w:val="none"/>
              </w:rPr>
              <w:t>被列入异常名录</w:t>
            </w:r>
            <w:r>
              <w:rPr>
                <w:rFonts w:hint="eastAsia" w:ascii="宋体" w:hAnsi="宋体"/>
                <w:sz w:val="24"/>
                <w:highlight w:val="none"/>
              </w:rPr>
              <w:t>（</w:t>
            </w:r>
            <w:r>
              <w:rPr>
                <w:rFonts w:ascii="宋体" w:hAnsi="宋体"/>
                <w:sz w:val="24"/>
                <w:highlight w:val="none"/>
              </w:rPr>
              <w:t>包括被</w:t>
            </w:r>
            <w:r>
              <w:rPr>
                <w:rFonts w:hint="eastAsia" w:ascii="宋体" w:hAnsi="宋体"/>
                <w:sz w:val="24"/>
                <w:highlight w:val="none"/>
              </w:rPr>
              <w:t>“</w:t>
            </w:r>
            <w:r>
              <w:rPr>
                <w:rFonts w:ascii="宋体" w:hAnsi="宋体"/>
                <w:sz w:val="24"/>
                <w:highlight w:val="none"/>
              </w:rPr>
              <w:t>信用中国</w:t>
            </w:r>
            <w:r>
              <w:rPr>
                <w:rFonts w:hint="eastAsia" w:ascii="宋体" w:hAnsi="宋体"/>
                <w:sz w:val="24"/>
                <w:highlight w:val="none"/>
              </w:rPr>
              <w:t>”</w:t>
            </w:r>
            <w:r>
              <w:rPr>
                <w:rFonts w:ascii="宋体" w:hAnsi="宋体"/>
                <w:sz w:val="24"/>
                <w:highlight w:val="none"/>
              </w:rPr>
              <w:t>网</w:t>
            </w:r>
            <w:r>
              <w:rPr>
                <w:rFonts w:hint="eastAsia" w:ascii="宋体" w:hAnsi="宋体"/>
                <w:sz w:val="24"/>
                <w:highlight w:val="none"/>
              </w:rPr>
              <w:t>站(</w:t>
            </w:r>
            <w:r>
              <w:rPr>
                <w:highlight w:val="none"/>
              </w:rPr>
              <w:fldChar w:fldCharType="begin"/>
            </w:r>
            <w:r>
              <w:rPr>
                <w:highlight w:val="none"/>
              </w:rPr>
              <w:instrText xml:space="preserve"> HYPERLINK "http://www.creditchina.gov.en/)" \h </w:instrText>
            </w:r>
            <w:r>
              <w:rPr>
                <w:highlight w:val="none"/>
              </w:rPr>
              <w:fldChar w:fldCharType="separate"/>
            </w:r>
            <w:r>
              <w:rPr>
                <w:rStyle w:val="45"/>
                <w:rFonts w:ascii="宋体" w:hAnsi="宋体"/>
                <w:color w:val="auto"/>
                <w:sz w:val="24"/>
                <w:highlight w:val="none"/>
              </w:rPr>
              <w:t>http://www.creditchina.gov.en/)</w:t>
            </w:r>
            <w:r>
              <w:rPr>
                <w:rStyle w:val="45"/>
                <w:rFonts w:ascii="宋体" w:hAnsi="宋体"/>
                <w:color w:val="auto"/>
                <w:sz w:val="24"/>
                <w:highlight w:val="none"/>
              </w:rPr>
              <w:fldChar w:fldCharType="end"/>
            </w:r>
            <w:r>
              <w:rPr>
                <w:rFonts w:ascii="宋体" w:hAnsi="宋体"/>
                <w:sz w:val="24"/>
                <w:highlight w:val="none"/>
              </w:rPr>
              <w:t>中被列入失信被执行人名单</w:t>
            </w:r>
            <w:r>
              <w:rPr>
                <w:rFonts w:hint="eastAsia" w:ascii="宋体" w:hAnsi="宋体"/>
                <w:sz w:val="24"/>
                <w:highlight w:val="none"/>
              </w:rPr>
              <w:t>或</w:t>
            </w:r>
            <w:r>
              <w:rPr>
                <w:rFonts w:ascii="宋体" w:hAnsi="宋体"/>
                <w:sz w:val="24"/>
                <w:highlight w:val="none"/>
              </w:rPr>
              <w:t>国家企业信用信息公示系</w:t>
            </w:r>
            <w:r>
              <w:rPr>
                <w:rFonts w:hint="eastAsia" w:ascii="宋体" w:hAnsi="宋体"/>
                <w:sz w:val="24"/>
                <w:highlight w:val="none"/>
              </w:rPr>
              <w:t>统（</w:t>
            </w:r>
            <w:r>
              <w:rPr>
                <w:highlight w:val="none"/>
              </w:rPr>
              <w:fldChar w:fldCharType="begin"/>
            </w:r>
            <w:r>
              <w:rPr>
                <w:highlight w:val="none"/>
              </w:rPr>
              <w:instrText xml:space="preserve"> HYPERLINK "http://www.gsxt.gov.cn/)" </w:instrText>
            </w:r>
            <w:r>
              <w:rPr>
                <w:highlight w:val="none"/>
              </w:rPr>
              <w:fldChar w:fldCharType="separate"/>
            </w:r>
            <w:r>
              <w:rPr>
                <w:rStyle w:val="45"/>
                <w:rFonts w:ascii="宋体" w:hAnsi="宋体"/>
                <w:color w:val="auto"/>
                <w:sz w:val="24"/>
                <w:highlight w:val="none"/>
              </w:rPr>
              <w:t>http://www.gsxt.gov.cn/)</w:t>
            </w:r>
            <w:r>
              <w:rPr>
                <w:rStyle w:val="45"/>
                <w:rFonts w:ascii="宋体" w:hAnsi="宋体"/>
                <w:color w:val="auto"/>
                <w:sz w:val="24"/>
                <w:highlight w:val="none"/>
              </w:rPr>
              <w:fldChar w:fldCharType="end"/>
            </w:r>
            <w:r>
              <w:rPr>
                <w:rFonts w:ascii="宋体" w:hAnsi="宋体"/>
                <w:sz w:val="24"/>
                <w:highlight w:val="none"/>
              </w:rPr>
              <w:t>中被列入严重违法失信企业名单</w:t>
            </w:r>
            <w:r>
              <w:rPr>
                <w:rFonts w:hint="eastAsia" w:ascii="宋体" w:hAnsi="宋体"/>
                <w:sz w:val="24"/>
                <w:highlight w:val="none"/>
              </w:rPr>
              <w:t>或</w:t>
            </w:r>
            <w:r>
              <w:rPr>
                <w:rFonts w:ascii="宋体" w:hAnsi="宋体"/>
                <w:sz w:val="24"/>
                <w:highlight w:val="none"/>
              </w:rPr>
              <w:t>吊销营业执照</w:t>
            </w:r>
            <w:r>
              <w:rPr>
                <w:rFonts w:hint="eastAsia" w:ascii="宋体" w:hAnsi="宋体"/>
                <w:sz w:val="24"/>
                <w:highlight w:val="none"/>
              </w:rPr>
              <w:t>或</w:t>
            </w:r>
            <w:r>
              <w:rPr>
                <w:rFonts w:ascii="宋体" w:hAnsi="宋体"/>
                <w:sz w:val="24"/>
                <w:highlight w:val="none"/>
              </w:rPr>
              <w:t>注销或处于注销清算等不良状态</w:t>
            </w:r>
            <w:r>
              <w:rPr>
                <w:rFonts w:hint="eastAsia" w:ascii="宋体" w:hAnsi="宋体"/>
                <w:sz w:val="24"/>
                <w:highlight w:val="none"/>
              </w:rPr>
              <w:t>）。</w:t>
            </w:r>
          </w:p>
        </w:tc>
      </w:tr>
    </w:tbl>
    <w:p>
      <w:pPr>
        <w:widowControl/>
        <w:jc w:val="left"/>
        <w:rPr>
          <w:rFonts w:ascii="黑体" w:eastAsia="黑体"/>
          <w:sz w:val="24"/>
          <w:highlight w:val="none"/>
        </w:rPr>
      </w:pPr>
    </w:p>
    <w:p>
      <w:pPr>
        <w:widowControl/>
        <w:jc w:val="center"/>
        <w:rPr>
          <w:rFonts w:ascii="黑体" w:eastAsia="黑体"/>
          <w:sz w:val="24"/>
          <w:highlight w:val="none"/>
        </w:rPr>
      </w:pPr>
    </w:p>
    <w:p>
      <w:pPr>
        <w:widowControl/>
        <w:ind w:firstLine="560" w:firstLineChars="200"/>
        <w:jc w:val="both"/>
        <w:rPr>
          <w:rFonts w:ascii="黑体" w:eastAsia="黑体"/>
          <w:bCs/>
          <w:sz w:val="28"/>
          <w:szCs w:val="28"/>
          <w:highlight w:val="none"/>
        </w:rPr>
      </w:pPr>
      <w:bookmarkStart w:id="29" w:name="_Toc337561664"/>
      <w:bookmarkStart w:id="30" w:name="_Toc337747190"/>
      <w:r>
        <w:rPr>
          <w:rFonts w:hint="eastAsia" w:ascii="黑体" w:eastAsia="黑体"/>
          <w:bCs/>
          <w:sz w:val="28"/>
          <w:szCs w:val="28"/>
          <w:highlight w:val="none"/>
        </w:rPr>
        <w:t>附录4   资格审查条件（项目负责人最低要求）</w:t>
      </w:r>
      <w:bookmarkEnd w:id="29"/>
      <w:bookmarkEnd w:id="30"/>
    </w:p>
    <w:tbl>
      <w:tblPr>
        <w:tblStyle w:val="38"/>
        <w:tblW w:w="4998" w:type="pct"/>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687"/>
        <w:gridCol w:w="1223"/>
        <w:gridCol w:w="789"/>
        <w:gridCol w:w="5334"/>
        <w:gridCol w:w="967"/>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382" w:type="pc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人员</w:t>
            </w:r>
          </w:p>
        </w:tc>
        <w:tc>
          <w:tcPr>
            <w:tcW w:w="679" w:type="pct"/>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标段</w:t>
            </w:r>
          </w:p>
        </w:tc>
        <w:tc>
          <w:tcPr>
            <w:tcW w:w="438" w:type="pct"/>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数量</w:t>
            </w:r>
          </w:p>
        </w:tc>
        <w:tc>
          <w:tcPr>
            <w:tcW w:w="2962" w:type="pct"/>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资 格 要 求</w:t>
            </w:r>
          </w:p>
        </w:tc>
        <w:tc>
          <w:tcPr>
            <w:tcW w:w="537" w:type="pct"/>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备注</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382"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 w:val="24"/>
                <w:szCs w:val="24"/>
                <w:highlight w:val="none"/>
              </w:rPr>
            </w:pPr>
            <w:r>
              <w:rPr>
                <w:rFonts w:hint="eastAsia" w:ascii="宋体" w:hAnsi="宋体"/>
                <w:sz w:val="24"/>
                <w:szCs w:val="24"/>
                <w:highlight w:val="none"/>
              </w:rPr>
              <w:t>项目负责人</w:t>
            </w:r>
          </w:p>
        </w:tc>
        <w:tc>
          <w:tcPr>
            <w:tcW w:w="679" w:type="pct"/>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center"/>
              <w:rPr>
                <w:rFonts w:ascii="宋体" w:hAnsi="宋体"/>
                <w:position w:val="0"/>
                <w:sz w:val="24"/>
                <w:highlight w:val="none"/>
              </w:rPr>
            </w:pPr>
            <w:r>
              <w:rPr>
                <w:rFonts w:hint="eastAsia" w:ascii="宋体" w:hAnsi="宋体" w:cs="宋体"/>
                <w:sz w:val="24"/>
                <w:szCs w:val="24"/>
                <w:highlight w:val="none"/>
              </w:rPr>
              <w:t>1标段（水土保持监测）</w:t>
            </w:r>
          </w:p>
        </w:tc>
        <w:tc>
          <w:tcPr>
            <w:tcW w:w="438" w:type="pc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1</w:t>
            </w:r>
          </w:p>
        </w:tc>
        <w:tc>
          <w:tcPr>
            <w:tcW w:w="2962" w:type="pct"/>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position w:val="0"/>
                <w:sz w:val="24"/>
                <w:highlight w:val="none"/>
              </w:rPr>
            </w:pPr>
            <w:r>
              <w:rPr>
                <w:rFonts w:ascii="宋体" w:hAnsi="宋体"/>
                <w:position w:val="0"/>
                <w:sz w:val="24"/>
                <w:highlight w:val="none"/>
              </w:rPr>
              <w:t>具有</w:t>
            </w:r>
            <w:r>
              <w:rPr>
                <w:rFonts w:hint="eastAsia" w:ascii="宋体" w:hAnsi="宋体"/>
                <w:position w:val="0"/>
                <w:sz w:val="24"/>
                <w:highlight w:val="none"/>
              </w:rPr>
              <w:t>水利类</w:t>
            </w:r>
            <w:r>
              <w:rPr>
                <w:rFonts w:ascii="宋体" w:hAnsi="宋体"/>
                <w:position w:val="0"/>
                <w:sz w:val="24"/>
                <w:highlight w:val="none"/>
              </w:rPr>
              <w:t>相关专业</w:t>
            </w:r>
            <w:r>
              <w:rPr>
                <w:rFonts w:hint="eastAsia" w:ascii="宋体" w:hAnsi="宋体"/>
                <w:position w:val="0"/>
                <w:sz w:val="24"/>
                <w:highlight w:val="none"/>
              </w:rPr>
              <w:t>高</w:t>
            </w:r>
            <w:r>
              <w:rPr>
                <w:rFonts w:ascii="宋体" w:hAnsi="宋体"/>
                <w:position w:val="0"/>
                <w:sz w:val="24"/>
                <w:highlight w:val="none"/>
              </w:rPr>
              <w:t>级工程师及以上技术职称，</w:t>
            </w:r>
            <w:r>
              <w:rPr>
                <w:rFonts w:hint="eastAsia" w:ascii="宋体" w:hAnsi="宋体"/>
                <w:position w:val="0"/>
                <w:sz w:val="24"/>
                <w:highlight w:val="none"/>
              </w:rPr>
              <w:t>具有省级及以上水土保持学会颁发的水土保持监测培训合格证，担任过交通运输类建设项目的水土保持监测工作项目负责人。</w:t>
            </w:r>
          </w:p>
        </w:tc>
        <w:tc>
          <w:tcPr>
            <w:tcW w:w="537" w:type="pct"/>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position w:val="0"/>
                <w:szCs w:val="21"/>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382" w:type="pc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sz w:val="24"/>
                <w:szCs w:val="24"/>
                <w:highlight w:val="none"/>
              </w:rPr>
            </w:pPr>
            <w:r>
              <w:rPr>
                <w:rFonts w:hint="eastAsia" w:ascii="宋体" w:hAnsi="宋体"/>
                <w:sz w:val="24"/>
                <w:szCs w:val="24"/>
                <w:highlight w:val="none"/>
              </w:rPr>
              <w:t>项目负责人</w:t>
            </w:r>
          </w:p>
        </w:tc>
        <w:tc>
          <w:tcPr>
            <w:tcW w:w="679" w:type="pct"/>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center"/>
              <w:rPr>
                <w:rFonts w:ascii="宋体" w:hAnsi="宋体"/>
                <w:position w:val="0"/>
                <w:sz w:val="24"/>
                <w:highlight w:val="none"/>
              </w:rPr>
            </w:pPr>
            <w:r>
              <w:rPr>
                <w:rFonts w:hint="eastAsia" w:ascii="宋体" w:hAnsi="宋体" w:cs="宋体"/>
                <w:sz w:val="24"/>
                <w:szCs w:val="24"/>
                <w:highlight w:val="none"/>
              </w:rPr>
              <w:t>2标段（环境监测服务）</w:t>
            </w:r>
          </w:p>
        </w:tc>
        <w:tc>
          <w:tcPr>
            <w:tcW w:w="438" w:type="pct"/>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1</w:t>
            </w:r>
          </w:p>
        </w:tc>
        <w:tc>
          <w:tcPr>
            <w:tcW w:w="2962" w:type="pct"/>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position w:val="0"/>
                <w:sz w:val="24"/>
                <w:highlight w:val="none"/>
              </w:rPr>
            </w:pPr>
            <w:r>
              <w:rPr>
                <w:rFonts w:ascii="宋体" w:hAnsi="宋体"/>
                <w:position w:val="0"/>
                <w:sz w:val="24"/>
                <w:highlight w:val="none"/>
              </w:rPr>
              <w:t>具有环境工程相关专业</w:t>
            </w:r>
            <w:r>
              <w:rPr>
                <w:rFonts w:hint="eastAsia" w:ascii="宋体" w:hAnsi="宋体"/>
                <w:position w:val="0"/>
                <w:sz w:val="24"/>
                <w:highlight w:val="none"/>
              </w:rPr>
              <w:t>中</w:t>
            </w:r>
            <w:r>
              <w:rPr>
                <w:rFonts w:ascii="宋体" w:hAnsi="宋体"/>
                <w:position w:val="0"/>
                <w:sz w:val="24"/>
                <w:highlight w:val="none"/>
              </w:rPr>
              <w:t>级工程师及以上技术职称，担任过交通运输类环境监测项目的项目负责人</w:t>
            </w:r>
            <w:r>
              <w:rPr>
                <w:rFonts w:hint="eastAsia" w:ascii="宋体" w:hAnsi="宋体"/>
                <w:position w:val="0"/>
                <w:sz w:val="24"/>
                <w:highlight w:val="none"/>
              </w:rPr>
              <w:t>。</w:t>
            </w:r>
          </w:p>
        </w:tc>
        <w:tc>
          <w:tcPr>
            <w:tcW w:w="537" w:type="pct"/>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position w:val="0"/>
                <w:szCs w:val="21"/>
                <w:highlight w:val="none"/>
              </w:rPr>
            </w:pPr>
          </w:p>
        </w:tc>
      </w:tr>
    </w:tbl>
    <w:p>
      <w:pPr>
        <w:ind w:firstLine="420" w:firstLineChars="200"/>
        <w:rPr>
          <w:rFonts w:ascii="黑体" w:eastAsia="黑体"/>
          <w:highlight w:val="none"/>
        </w:rPr>
      </w:pPr>
      <w:r>
        <w:rPr>
          <w:rFonts w:hint="eastAsia" w:ascii="黑体" w:eastAsia="黑体"/>
          <w:highlight w:val="none"/>
        </w:rPr>
        <w:t xml:space="preserve">  </w:t>
      </w:r>
    </w:p>
    <w:p>
      <w:pPr>
        <w:widowControl/>
        <w:jc w:val="center"/>
        <w:rPr>
          <w:rFonts w:ascii="黑体" w:eastAsia="黑体"/>
          <w:b/>
          <w:sz w:val="28"/>
          <w:szCs w:val="28"/>
          <w:highlight w:val="none"/>
        </w:rPr>
      </w:pPr>
      <w:r>
        <w:rPr>
          <w:position w:val="0"/>
          <w:sz w:val="24"/>
          <w:szCs w:val="24"/>
          <w:highlight w:val="none"/>
        </w:rPr>
        <w:br w:type="page"/>
      </w:r>
      <w:r>
        <w:rPr>
          <w:rFonts w:hint="eastAsia" w:ascii="黑体" w:eastAsia="黑体"/>
          <w:bCs/>
          <w:sz w:val="28"/>
          <w:szCs w:val="28"/>
          <w:highlight w:val="none"/>
        </w:rPr>
        <w:t>附录5   资格审查条件（其他人员最低条件）</w:t>
      </w:r>
    </w:p>
    <w:tbl>
      <w:tblPr>
        <w:tblStyle w:val="38"/>
        <w:tblW w:w="0" w:type="auto"/>
        <w:jc w:val="center"/>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52"/>
        <w:gridCol w:w="1133"/>
        <w:gridCol w:w="731"/>
        <w:gridCol w:w="4940"/>
        <w:gridCol w:w="897"/>
      </w:tblGrid>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PrEx>
        <w:trPr>
          <w:trHeight w:val="658" w:hRule="atLeast"/>
          <w:jc w:val="center"/>
        </w:trPr>
        <w:tc>
          <w:tcPr>
            <w:tcW w:w="1752"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人员</w:t>
            </w:r>
          </w:p>
        </w:tc>
        <w:tc>
          <w:tcPr>
            <w:tcW w:w="1133"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标段</w:t>
            </w:r>
          </w:p>
        </w:tc>
        <w:tc>
          <w:tcPr>
            <w:tcW w:w="731"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数量</w:t>
            </w:r>
          </w:p>
        </w:tc>
        <w:tc>
          <w:tcPr>
            <w:tcW w:w="4940"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资 格 要 求</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r>
              <w:rPr>
                <w:rFonts w:hint="eastAsia" w:ascii="黑体" w:eastAsia="黑体"/>
                <w:sz w:val="24"/>
                <w:highlight w:val="none"/>
              </w:rPr>
              <w:t>备注</w:t>
            </w: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position w:val="0"/>
                <w:sz w:val="24"/>
                <w:szCs w:val="24"/>
                <w:highlight w:val="none"/>
              </w:rPr>
            </w:pPr>
            <w:r>
              <w:rPr>
                <w:rFonts w:hint="eastAsia" w:ascii="宋体" w:hAnsi="宋体"/>
                <w:position w:val="0"/>
                <w:sz w:val="24"/>
                <w:szCs w:val="24"/>
                <w:highlight w:val="none"/>
              </w:rPr>
              <w:t>技术负责人</w:t>
            </w:r>
          </w:p>
        </w:tc>
        <w:tc>
          <w:tcPr>
            <w:tcW w:w="1133" w:type="dxa"/>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center"/>
              <w:rPr>
                <w:rFonts w:ascii="宋体" w:hAnsi="宋体"/>
                <w:position w:val="0"/>
                <w:sz w:val="24"/>
                <w:highlight w:val="none"/>
              </w:rPr>
            </w:pPr>
            <w:r>
              <w:rPr>
                <w:rFonts w:hint="eastAsia" w:ascii="宋体" w:hAnsi="宋体" w:cs="宋体"/>
                <w:sz w:val="24"/>
                <w:szCs w:val="24"/>
                <w:highlight w:val="none"/>
              </w:rPr>
              <w:t>1标段（水土保持监测）</w:t>
            </w:r>
          </w:p>
        </w:tc>
        <w:tc>
          <w:tcPr>
            <w:tcW w:w="731"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1</w:t>
            </w:r>
          </w:p>
        </w:tc>
        <w:tc>
          <w:tcPr>
            <w:tcW w:w="4940" w:type="dxa"/>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position w:val="0"/>
                <w:sz w:val="24"/>
                <w:szCs w:val="24"/>
                <w:highlight w:val="none"/>
              </w:rPr>
            </w:pPr>
            <w:r>
              <w:rPr>
                <w:rFonts w:ascii="宋体" w:hAnsi="宋体"/>
                <w:position w:val="0"/>
                <w:sz w:val="24"/>
                <w:highlight w:val="none"/>
              </w:rPr>
              <w:t>具有</w:t>
            </w:r>
            <w:r>
              <w:rPr>
                <w:rFonts w:hint="eastAsia" w:ascii="宋体" w:hAnsi="宋体"/>
                <w:position w:val="0"/>
                <w:sz w:val="24"/>
                <w:highlight w:val="none"/>
              </w:rPr>
              <w:t>水利类</w:t>
            </w:r>
            <w:r>
              <w:rPr>
                <w:rFonts w:ascii="宋体" w:hAnsi="宋体"/>
                <w:position w:val="0"/>
                <w:sz w:val="24"/>
                <w:highlight w:val="none"/>
              </w:rPr>
              <w:t>相关专业</w:t>
            </w:r>
            <w:r>
              <w:rPr>
                <w:rFonts w:hint="eastAsia" w:ascii="宋体" w:hAnsi="宋体"/>
                <w:position w:val="0"/>
                <w:sz w:val="24"/>
                <w:highlight w:val="none"/>
              </w:rPr>
              <w:t>中</w:t>
            </w:r>
            <w:r>
              <w:rPr>
                <w:rFonts w:ascii="宋体" w:hAnsi="宋体"/>
                <w:position w:val="0"/>
                <w:sz w:val="24"/>
                <w:highlight w:val="none"/>
              </w:rPr>
              <w:t>级工程师及以上技术职称，</w:t>
            </w:r>
            <w:r>
              <w:rPr>
                <w:rFonts w:hint="eastAsia" w:ascii="宋体" w:hAnsi="宋体"/>
                <w:position w:val="0"/>
                <w:sz w:val="24"/>
                <w:highlight w:val="none"/>
              </w:rPr>
              <w:t>具有省级及以上水土保持学会颁发的水土保持监测培训合格证，担任过交通运输类建设项目的水土保持监测工作项目负责人</w:t>
            </w:r>
            <w:r>
              <w:rPr>
                <w:rFonts w:hint="eastAsia" w:ascii="宋体" w:hAnsi="宋体"/>
                <w:position w:val="0"/>
                <w:sz w:val="24"/>
                <w:highlight w:val="none"/>
                <w:lang w:val="en-US" w:eastAsia="zh-CN"/>
              </w:rPr>
              <w:t>或技术负责人</w:t>
            </w:r>
            <w:r>
              <w:rPr>
                <w:rFonts w:hint="eastAsia" w:ascii="宋体" w:hAnsi="宋体"/>
                <w:position w:val="0"/>
                <w:sz w:val="24"/>
                <w:highlight w:val="none"/>
              </w:rPr>
              <w:t>。</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p>
        </w:tc>
      </w:tr>
      <w:tr>
        <w:tblPrEx>
          <w:tblBorders>
            <w:top w:val="thinThickSmallGap" w:color="auto" w:sz="12" w:space="0"/>
            <w:left w:val="thinThickSmallGap" w:color="auto" w:sz="12" w:space="0"/>
            <w:bottom w:val="thickThinSmallGap" w:color="auto" w:sz="12" w:space="0"/>
            <w:right w:val="thickThinSmallGap" w:color="auto" w:sz="12" w:space="0"/>
            <w:insideH w:val="single" w:color="auto" w:sz="6" w:space="0"/>
            <w:insideV w:val="single" w:color="auto" w:sz="6" w:space="0"/>
          </w:tblBorders>
          <w:tblCellMar>
            <w:top w:w="0" w:type="dxa"/>
            <w:left w:w="108" w:type="dxa"/>
            <w:bottom w:w="0" w:type="dxa"/>
            <w:right w:w="108" w:type="dxa"/>
          </w:tblCellMar>
        </w:tblPrEx>
        <w:trPr>
          <w:trHeight w:val="658" w:hRule="atLeast"/>
          <w:jc w:val="center"/>
        </w:trPr>
        <w:tc>
          <w:tcPr>
            <w:tcW w:w="1752"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position w:val="0"/>
                <w:sz w:val="24"/>
                <w:szCs w:val="24"/>
                <w:highlight w:val="none"/>
              </w:rPr>
            </w:pPr>
            <w:r>
              <w:rPr>
                <w:rFonts w:hint="eastAsia" w:ascii="宋体" w:hAnsi="宋体"/>
                <w:position w:val="0"/>
                <w:sz w:val="24"/>
                <w:szCs w:val="24"/>
                <w:highlight w:val="none"/>
              </w:rPr>
              <w:t>技术负责人</w:t>
            </w:r>
          </w:p>
        </w:tc>
        <w:tc>
          <w:tcPr>
            <w:tcW w:w="1133" w:type="dxa"/>
            <w:tcBorders>
              <w:top w:val="single" w:color="000000" w:sz="4" w:space="0"/>
              <w:left w:val="single" w:color="000000" w:sz="4" w:space="0"/>
              <w:bottom w:val="single" w:color="000000" w:sz="4" w:space="0"/>
              <w:right w:val="single" w:color="000000" w:sz="4" w:space="0"/>
            </w:tcBorders>
            <w:vAlign w:val="center"/>
          </w:tcPr>
          <w:p>
            <w:pPr>
              <w:widowControl/>
              <w:ind w:left="-2" w:leftChars="-1" w:firstLine="16" w:firstLineChars="7"/>
              <w:jc w:val="center"/>
              <w:rPr>
                <w:rFonts w:ascii="宋体" w:hAnsi="宋体"/>
                <w:position w:val="0"/>
                <w:sz w:val="24"/>
                <w:highlight w:val="none"/>
              </w:rPr>
            </w:pPr>
            <w:r>
              <w:rPr>
                <w:rFonts w:hint="eastAsia" w:ascii="宋体" w:hAnsi="宋体" w:cs="宋体"/>
                <w:sz w:val="24"/>
                <w:szCs w:val="24"/>
                <w:highlight w:val="none"/>
              </w:rPr>
              <w:t>2标段（环境监测服务）</w:t>
            </w:r>
          </w:p>
        </w:tc>
        <w:tc>
          <w:tcPr>
            <w:tcW w:w="731"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黑体" w:eastAsia="黑体"/>
                <w:sz w:val="24"/>
                <w:highlight w:val="none"/>
              </w:rPr>
            </w:pPr>
            <w:r>
              <w:rPr>
                <w:rFonts w:hint="eastAsia" w:ascii="黑体" w:eastAsia="黑体"/>
                <w:sz w:val="24"/>
                <w:highlight w:val="none"/>
              </w:rPr>
              <w:t>1</w:t>
            </w:r>
          </w:p>
        </w:tc>
        <w:tc>
          <w:tcPr>
            <w:tcW w:w="4940" w:type="dxa"/>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宋体" w:hAnsi="宋体" w:eastAsia="宋体"/>
                <w:position w:val="0"/>
                <w:sz w:val="24"/>
                <w:highlight w:val="none"/>
                <w:lang w:eastAsia="zh-CN"/>
              </w:rPr>
            </w:pPr>
            <w:r>
              <w:rPr>
                <w:rFonts w:ascii="宋体" w:hAnsi="宋体"/>
                <w:position w:val="0"/>
                <w:sz w:val="24"/>
                <w:highlight w:val="none"/>
              </w:rPr>
              <w:t>具有环境工程相关专业</w:t>
            </w:r>
            <w:r>
              <w:rPr>
                <w:rFonts w:hint="eastAsia" w:ascii="宋体" w:hAnsi="宋体"/>
                <w:position w:val="0"/>
                <w:sz w:val="24"/>
                <w:highlight w:val="none"/>
              </w:rPr>
              <w:t>中</w:t>
            </w:r>
            <w:r>
              <w:rPr>
                <w:rFonts w:ascii="宋体" w:hAnsi="宋体"/>
                <w:position w:val="0"/>
                <w:sz w:val="24"/>
                <w:highlight w:val="none"/>
              </w:rPr>
              <w:t>级工程师及以上技术职称</w:t>
            </w:r>
            <w:r>
              <w:rPr>
                <w:rFonts w:hint="eastAsia" w:ascii="宋体" w:hAnsi="宋体"/>
                <w:position w:val="0"/>
                <w:sz w:val="24"/>
                <w:highlight w:val="none"/>
                <w:lang w:eastAsia="zh-CN"/>
              </w:rPr>
              <w:t>。</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Fonts w:ascii="黑体" w:eastAsia="黑体"/>
                <w:sz w:val="24"/>
                <w:highlight w:val="none"/>
              </w:rPr>
            </w:pPr>
          </w:p>
        </w:tc>
      </w:tr>
    </w:tbl>
    <w:p>
      <w:pPr>
        <w:rPr>
          <w:rFonts w:ascii="黑体" w:eastAsia="黑体"/>
          <w:highlight w:val="none"/>
        </w:rPr>
      </w:pPr>
      <w:r>
        <w:rPr>
          <w:rFonts w:hint="eastAsia" w:ascii="黑体" w:eastAsia="黑体"/>
          <w:highlight w:val="none"/>
        </w:rPr>
        <w:t>注：1.</w:t>
      </w:r>
      <w:r>
        <w:rPr>
          <w:rFonts w:hint="eastAsia" w:ascii="黑体" w:hAnsi="Calibri" w:eastAsia="黑体"/>
          <w:highlight w:val="none"/>
          <w:lang w:bidi="ar"/>
        </w:rPr>
        <w:t>本表为投标人拟投入人员的最低要求，投标时仅需投标人按照招标文件要求进行填报。投标人若中标后并在签署合同协议书前，向招标人提交满足本表最低要求的资料表（包含人员名单、数量、资历及证书）报招标人审查。若资料表（包含人员名单、数量、资历及证书）不能满足本表的最低要求，招标人有权取消投标人的中标资格；若资料表（包含人员名单、数量、资历及证书）通过了招标人审查，签订合同协议书后，将作为承包人人员履约的依据；</w:t>
      </w:r>
    </w:p>
    <w:p>
      <w:pPr>
        <w:rPr>
          <w:rFonts w:ascii="黑体" w:eastAsia="黑体"/>
          <w:highlight w:val="none"/>
        </w:rPr>
      </w:pPr>
      <w:r>
        <w:rPr>
          <w:rFonts w:hint="eastAsia" w:ascii="黑体" w:eastAsia="黑体"/>
          <w:highlight w:val="none"/>
        </w:rPr>
        <w:t>2.发包人可根据工作需要要求承包人增加试验检测工程师或试验检测人员，对此承包人不得拒绝，由此增加的费用视为包含在投标报价中，发包人不另行支付。</w:t>
      </w:r>
    </w:p>
    <w:p>
      <w:pPr>
        <w:rPr>
          <w:highlight w:val="none"/>
        </w:rPr>
      </w:pPr>
    </w:p>
    <w:p>
      <w:pPr>
        <w:pStyle w:val="3"/>
        <w:spacing w:before="240" w:after="240" w:line="440" w:lineRule="atLeast"/>
        <w:rPr>
          <w:rFonts w:hint="eastAsia" w:ascii="宋体" w:hAnsi="宋体" w:eastAsia="宋体" w:cs="宋体"/>
          <w:b w:val="0"/>
          <w:sz w:val="28"/>
          <w:szCs w:val="28"/>
          <w:highlight w:val="none"/>
        </w:rPr>
      </w:pPr>
      <w:r>
        <w:rPr>
          <w:rFonts w:hint="eastAsia" w:ascii="黑体" w:eastAsia="黑体"/>
          <w:position w:val="0"/>
          <w:szCs w:val="24"/>
          <w:highlight w:val="none"/>
        </w:rPr>
        <w:br w:type="page"/>
      </w:r>
      <w:bookmarkStart w:id="31" w:name="_Toc510015674"/>
      <w:bookmarkStart w:id="32" w:name="_Toc503235741"/>
      <w:r>
        <w:rPr>
          <w:rFonts w:hint="eastAsia" w:ascii="宋体" w:hAnsi="宋体" w:eastAsia="宋体" w:cs="宋体"/>
          <w:b w:val="0"/>
          <w:sz w:val="28"/>
          <w:szCs w:val="28"/>
          <w:highlight w:val="none"/>
        </w:rPr>
        <w:t>1. 总则</w:t>
      </w:r>
      <w:bookmarkEnd w:id="31"/>
      <w:bookmarkEnd w:id="32"/>
    </w:p>
    <w:p>
      <w:pPr>
        <w:pStyle w:val="3"/>
        <w:spacing w:before="240" w:after="240" w:line="440" w:lineRule="atLeast"/>
        <w:rPr>
          <w:rFonts w:hint="eastAsia" w:ascii="宋体" w:hAnsi="宋体" w:eastAsia="宋体" w:cs="宋体"/>
          <w:b w:val="0"/>
          <w:sz w:val="24"/>
          <w:szCs w:val="24"/>
          <w:highlight w:val="none"/>
        </w:rPr>
      </w:pPr>
      <w:bookmarkStart w:id="33" w:name="_Toc510015675"/>
      <w:bookmarkStart w:id="34" w:name="_Toc503235742"/>
      <w:r>
        <w:rPr>
          <w:rFonts w:hint="eastAsia" w:ascii="宋体" w:hAnsi="宋体" w:eastAsia="宋体" w:cs="宋体"/>
          <w:b w:val="0"/>
          <w:sz w:val="24"/>
          <w:szCs w:val="24"/>
          <w:highlight w:val="none"/>
        </w:rPr>
        <w:t>1.1 项目概况</w:t>
      </w:r>
      <w:bookmarkEnd w:id="33"/>
      <w:bookmarkEnd w:id="34"/>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1.1.1 根据《中华人民共和国招标投标法》《中华人民共和国招标投标法实施条例》《公路工程建设项目招标投标管理办法》等有关法律、法规和规章的规定，本招项目已具备招标条件，现对本标段咨询服务进行招标。</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1.1.2 本招标项目招标人：见投标人须知前附表。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1.1.3 本标段招标代理机构：见投标人须知前附表。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1.1.4 本招标项目名称：见投标人须知前附表。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1.1.5 本标段建设地点：见投标人须知前附表。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1.1.6 本标段建设规模：见投标人须知前附表。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1.1.7 招标项目施工预计开工日期和建设周期：见投标人须知前附表。</w:t>
      </w:r>
    </w:p>
    <w:p>
      <w:pPr>
        <w:pStyle w:val="3"/>
        <w:spacing w:before="240" w:after="240" w:line="440" w:lineRule="atLeast"/>
        <w:rPr>
          <w:rFonts w:hint="eastAsia" w:ascii="宋体" w:hAnsi="宋体" w:eastAsia="宋体" w:cs="宋体"/>
          <w:b w:val="0"/>
          <w:sz w:val="24"/>
          <w:szCs w:val="24"/>
          <w:highlight w:val="none"/>
        </w:rPr>
      </w:pPr>
      <w:bookmarkStart w:id="35" w:name="_Toc510015676"/>
      <w:bookmarkStart w:id="36" w:name="_Toc503235743"/>
      <w:r>
        <w:rPr>
          <w:rFonts w:hint="eastAsia" w:ascii="宋体" w:hAnsi="宋体" w:eastAsia="宋体" w:cs="宋体"/>
          <w:b w:val="0"/>
          <w:sz w:val="24"/>
          <w:szCs w:val="24"/>
          <w:highlight w:val="none"/>
        </w:rPr>
        <w:t>1.2 招标项目的资金来源和落实情况</w:t>
      </w:r>
      <w:bookmarkEnd w:id="35"/>
      <w:bookmarkEnd w:id="36"/>
      <w:r>
        <w:rPr>
          <w:rFonts w:hint="eastAsia" w:ascii="宋体" w:hAnsi="宋体" w:eastAsia="宋体" w:cs="宋体"/>
          <w:b w:val="0"/>
          <w:sz w:val="24"/>
          <w:szCs w:val="24"/>
          <w:highlight w:val="none"/>
        </w:rPr>
        <w:t xml:space="preserve">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1.2.1 资金来源及比例：见投标人须知前附表。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1.2.2 资金落实情况：见投标人须知前附表。</w:t>
      </w:r>
    </w:p>
    <w:p>
      <w:pPr>
        <w:pStyle w:val="3"/>
        <w:spacing w:before="240" w:after="240" w:line="440" w:lineRule="atLeast"/>
        <w:rPr>
          <w:rFonts w:hint="eastAsia" w:ascii="宋体" w:hAnsi="宋体" w:eastAsia="宋体" w:cs="宋体"/>
          <w:b w:val="0"/>
          <w:sz w:val="24"/>
          <w:szCs w:val="24"/>
          <w:highlight w:val="none"/>
        </w:rPr>
      </w:pPr>
      <w:bookmarkStart w:id="37" w:name="_Toc503235744"/>
      <w:bookmarkStart w:id="38" w:name="_Toc510015677"/>
      <w:r>
        <w:rPr>
          <w:rFonts w:hint="eastAsia" w:ascii="宋体" w:hAnsi="宋体" w:eastAsia="宋体" w:cs="宋体"/>
          <w:b w:val="0"/>
          <w:sz w:val="24"/>
          <w:szCs w:val="24"/>
          <w:highlight w:val="none"/>
        </w:rPr>
        <w:t>1.3 招标范围、咨询服务期限、质量要求、安全目标</w:t>
      </w:r>
      <w:bookmarkEnd w:id="37"/>
      <w:bookmarkEnd w:id="38"/>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1.3.1 招标范围：见投标人须知前附表。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1.3.2 本标段的咨询服务期限：见投标人须知前附表。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1.3.3 本标段的质量要求：见投标人须知前附表。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1.3.4 本标段的安全目标：见投标人须知前附表。</w:t>
      </w:r>
    </w:p>
    <w:p>
      <w:pPr>
        <w:pStyle w:val="3"/>
        <w:spacing w:before="240" w:after="240" w:line="440" w:lineRule="atLeast"/>
        <w:rPr>
          <w:rFonts w:hint="eastAsia" w:ascii="宋体" w:hAnsi="宋体" w:eastAsia="宋体" w:cs="宋体"/>
          <w:b w:val="0"/>
          <w:sz w:val="24"/>
          <w:szCs w:val="24"/>
          <w:highlight w:val="none"/>
        </w:rPr>
      </w:pPr>
      <w:bookmarkStart w:id="39" w:name="_Toc510015678"/>
      <w:bookmarkStart w:id="40" w:name="_Toc503235745"/>
      <w:r>
        <w:rPr>
          <w:rFonts w:hint="eastAsia" w:ascii="宋体" w:hAnsi="宋体" w:eastAsia="宋体" w:cs="宋体"/>
          <w:b w:val="0"/>
          <w:sz w:val="24"/>
          <w:szCs w:val="24"/>
          <w:highlight w:val="none"/>
        </w:rPr>
        <w:t>1.4 投标人资格要求（适用于已进行资格预审的）</w:t>
      </w:r>
      <w:bookmarkEnd w:id="39"/>
      <w:bookmarkEnd w:id="40"/>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投标人应是收到招标人发出投标邀请书的单位。</w:t>
      </w:r>
    </w:p>
    <w:p>
      <w:pPr>
        <w:pStyle w:val="3"/>
        <w:spacing w:before="240" w:after="240" w:line="440" w:lineRule="atLeast"/>
        <w:rPr>
          <w:rFonts w:hint="eastAsia" w:ascii="宋体" w:hAnsi="宋体" w:eastAsia="宋体" w:cs="宋体"/>
          <w:b w:val="0"/>
          <w:sz w:val="24"/>
          <w:szCs w:val="24"/>
          <w:highlight w:val="none"/>
        </w:rPr>
      </w:pPr>
      <w:bookmarkStart w:id="41" w:name="_Toc503235746"/>
      <w:bookmarkStart w:id="42" w:name="_Toc510015679"/>
      <w:r>
        <w:rPr>
          <w:rFonts w:hint="eastAsia" w:ascii="宋体" w:hAnsi="宋体" w:eastAsia="宋体" w:cs="宋体"/>
          <w:b w:val="0"/>
          <w:sz w:val="24"/>
          <w:szCs w:val="24"/>
          <w:highlight w:val="none"/>
        </w:rPr>
        <w:t>1.4 投标人资格要求（适用于未进行资格预审的）</w:t>
      </w:r>
      <w:bookmarkEnd w:id="41"/>
      <w:bookmarkEnd w:id="42"/>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1.4.1 投标人应具备承担本标段咨询服务的资质条件、能力和信誉。</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 xml:space="preserve">（1）资质要求：见投标人须知前附表；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（2）业绩要求：见投标人须知前附表；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（3）信誉要求：见投标人须知前附表；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（4）项目负责人资格：见投标人须知前附表；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（5）其他要求：见投标人须知前附表。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需要提交的相关证明材料见本章第3.5款的规定。</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 xml:space="preserve">1.4.2 投标人须知前附表规定接受联合体投标的，联合体除应符合本章第1.4.1项和投标人须知前附表的要求外，还应遵守以下规定：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（1）联合体各方应按招标文件提供的格式签订联合体协议书，明确联合体牵头人和各方权利义务，并承诺就中标项目向招标人承担连带责任；</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（2）由同一专业的单位组成的联合体，按照资质等级较低的单位确定资质等级；</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（3）联合体各方不得再以自己名义单独或参加其他联合体在同一标段中投标；</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联合体各方应分别按照本招标文件的要求，填写投标文件中的相应表格，并由联合体牵头人负责对联合体各成员的资料进行统一汇总后一并提交给招标人；联合体牵头人所提交的投标文件应认为已代表了联合体各成员的真实情况；</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（5）尽管委任了联合体牵头人，但联合体各成员在投标、签订合同与履行合同过程中，仍负有连带的和各自的法律责任。</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1.4.3 投标人（包括联合体各成员）不得与本标段相关单位存在下列关联情形：</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（1）为招标人不具有独立法人资格的附属机构（单位）；</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（2）与招标人存在利害关系且可能影响招标公正性；</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（3）与本标段的其他投标人同为一个单位负责人；</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（4）与本标段的其他投标人存在控股、管理关系；</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 xml:space="preserve">（5）为本标段的代建人；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（6）为本标段的招标代理机构；</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（7）与本标段的代建人或招标代理机构同为一个法定代表人；</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（8）与本标段的代建人或招标代理机构存在控股或参股关系；</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（9）法律法规或投标人须知前附表规定的其他情形。</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1.4.4 投标人（包括联合体各成员）不得存在下列不良状况或不良信用记录：</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（1）被省级及以上交通运输主管部门取消招标项目所在地的投标资格且处于有效期内；</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（2）被责令停业，暂扣或吊销执照，或吊销资质证书；</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（3）进入清算程序，或被宣告破产，或其他丧失履约能力的情形；</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（4）在国家企业信用信息公示系统（http://www.gsxt.gov.cn/）中被列入严重违法失信企业名单；</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（5）在“信用中国”网站（http://www.creditchina.gov.cn/）中被列入失信被执行人名单；</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（6）投标人或其法定代表人、拟委任的项目负责人在近三年内有行贿犯罪行为的（行贿犯罪行为的认定以检察机关职务犯罪预防部门出具的查询结果为准）；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（7）法律法规或投标人须知前附表规定的其他情形。</w:t>
      </w:r>
    </w:p>
    <w:p>
      <w:pPr>
        <w:pStyle w:val="3"/>
        <w:spacing w:before="240" w:after="240" w:line="440" w:lineRule="atLeast"/>
        <w:rPr>
          <w:rFonts w:hint="eastAsia" w:ascii="宋体" w:hAnsi="宋体" w:eastAsia="宋体" w:cs="宋体"/>
          <w:b w:val="0"/>
          <w:sz w:val="24"/>
          <w:szCs w:val="24"/>
          <w:highlight w:val="none"/>
        </w:rPr>
      </w:pPr>
      <w:bookmarkStart w:id="43" w:name="_Toc510015680"/>
      <w:bookmarkStart w:id="44" w:name="_Toc503235747"/>
      <w:r>
        <w:rPr>
          <w:rFonts w:hint="eastAsia" w:ascii="宋体" w:hAnsi="宋体" w:eastAsia="宋体" w:cs="宋体"/>
          <w:b w:val="0"/>
          <w:sz w:val="24"/>
          <w:szCs w:val="24"/>
          <w:highlight w:val="none"/>
        </w:rPr>
        <w:t>1.5 费用承担</w:t>
      </w:r>
      <w:bookmarkEnd w:id="43"/>
      <w:bookmarkEnd w:id="44"/>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投标人准备和参加投标活动发生的费用自理。</w:t>
      </w:r>
    </w:p>
    <w:p>
      <w:pPr>
        <w:pStyle w:val="3"/>
        <w:spacing w:before="240" w:after="240" w:line="440" w:lineRule="atLeast"/>
        <w:rPr>
          <w:rFonts w:hint="eastAsia" w:ascii="宋体" w:hAnsi="宋体" w:eastAsia="宋体" w:cs="宋体"/>
          <w:b w:val="0"/>
          <w:sz w:val="24"/>
          <w:szCs w:val="24"/>
          <w:highlight w:val="none"/>
        </w:rPr>
      </w:pPr>
      <w:bookmarkStart w:id="45" w:name="_Toc510015681"/>
      <w:bookmarkStart w:id="46" w:name="_Toc503235748"/>
      <w:r>
        <w:rPr>
          <w:rFonts w:hint="eastAsia" w:ascii="宋体" w:hAnsi="宋体" w:eastAsia="宋体" w:cs="宋体"/>
          <w:b w:val="0"/>
          <w:sz w:val="24"/>
          <w:szCs w:val="24"/>
          <w:highlight w:val="none"/>
        </w:rPr>
        <w:t>1.6 保密</w:t>
      </w:r>
      <w:bookmarkEnd w:id="45"/>
      <w:bookmarkEnd w:id="46"/>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参与招标投标活动的各方应对招标文件和投标文件中的商业和技术等秘密保密，否则应承担相应的法律责任。</w:t>
      </w:r>
    </w:p>
    <w:p>
      <w:pPr>
        <w:pStyle w:val="3"/>
        <w:spacing w:before="240" w:after="240" w:line="440" w:lineRule="atLeast"/>
        <w:rPr>
          <w:rFonts w:hint="eastAsia" w:ascii="宋体" w:hAnsi="宋体" w:eastAsia="宋体" w:cs="宋体"/>
          <w:b w:val="0"/>
          <w:sz w:val="24"/>
          <w:szCs w:val="24"/>
          <w:highlight w:val="none"/>
        </w:rPr>
      </w:pPr>
      <w:bookmarkStart w:id="47" w:name="_Toc503235749"/>
      <w:bookmarkStart w:id="48" w:name="_Toc510015682"/>
      <w:r>
        <w:rPr>
          <w:rFonts w:hint="eastAsia" w:ascii="宋体" w:hAnsi="宋体" w:eastAsia="宋体" w:cs="宋体"/>
          <w:b w:val="0"/>
          <w:sz w:val="24"/>
          <w:szCs w:val="24"/>
          <w:highlight w:val="none"/>
        </w:rPr>
        <w:t>1.7 语言文字</w:t>
      </w:r>
      <w:bookmarkEnd w:id="47"/>
      <w:bookmarkEnd w:id="48"/>
    </w:p>
    <w:p>
      <w:pPr>
        <w:spacing w:line="440" w:lineRule="atLeast"/>
        <w:ind w:firstLine="480" w:firstLineChars="200"/>
        <w:rPr>
          <w:rFonts w:hint="eastAsia" w:ascii="宋体" w:hAnsi="宋体" w:eastAsia="宋体" w:cs="宋体"/>
          <w:b/>
          <w:bCs/>
          <w:sz w:val="24"/>
          <w:highlight w:val="none"/>
        </w:rPr>
      </w:pPr>
      <w:r>
        <w:rPr>
          <w:rFonts w:hint="eastAsia" w:ascii="宋体" w:hAnsi="宋体" w:eastAsia="宋体" w:cs="宋体"/>
          <w:sz w:val="24"/>
          <w:highlight w:val="none"/>
        </w:rPr>
        <w:t>招标投标文件使用的语言文字为中文。专用术语使用外文的，应附有中文注释。</w:t>
      </w:r>
    </w:p>
    <w:p>
      <w:pPr>
        <w:pStyle w:val="3"/>
        <w:spacing w:before="240" w:after="240" w:line="440" w:lineRule="atLeast"/>
        <w:rPr>
          <w:rFonts w:hint="eastAsia" w:ascii="宋体" w:hAnsi="宋体" w:eastAsia="宋体" w:cs="宋体"/>
          <w:b w:val="0"/>
          <w:sz w:val="24"/>
          <w:szCs w:val="24"/>
          <w:highlight w:val="none"/>
        </w:rPr>
      </w:pPr>
      <w:bookmarkStart w:id="49" w:name="_Toc503235750"/>
      <w:bookmarkStart w:id="50" w:name="_Toc510015683"/>
      <w:r>
        <w:rPr>
          <w:rFonts w:hint="eastAsia" w:ascii="宋体" w:hAnsi="宋体" w:eastAsia="宋体" w:cs="宋体"/>
          <w:b w:val="0"/>
          <w:sz w:val="24"/>
          <w:szCs w:val="24"/>
          <w:highlight w:val="none"/>
        </w:rPr>
        <w:t>1.8 计量单位</w:t>
      </w:r>
      <w:bookmarkEnd w:id="49"/>
      <w:bookmarkEnd w:id="50"/>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所有计量均采用中华人民共和国法定计量单位。</w:t>
      </w:r>
    </w:p>
    <w:p>
      <w:pPr>
        <w:pStyle w:val="3"/>
        <w:spacing w:before="240" w:after="240" w:line="440" w:lineRule="atLeast"/>
        <w:rPr>
          <w:rFonts w:hint="eastAsia" w:ascii="宋体" w:hAnsi="宋体" w:eastAsia="宋体" w:cs="宋体"/>
          <w:b w:val="0"/>
          <w:sz w:val="24"/>
          <w:szCs w:val="24"/>
          <w:highlight w:val="none"/>
        </w:rPr>
      </w:pPr>
      <w:bookmarkStart w:id="51" w:name="_Toc510015684"/>
      <w:bookmarkStart w:id="52" w:name="_Toc503235751"/>
      <w:r>
        <w:rPr>
          <w:rFonts w:hint="eastAsia" w:ascii="宋体" w:hAnsi="宋体" w:eastAsia="宋体" w:cs="宋体"/>
          <w:b w:val="0"/>
          <w:sz w:val="24"/>
          <w:szCs w:val="24"/>
          <w:highlight w:val="none"/>
        </w:rPr>
        <w:t>1.9 踏勘现场</w:t>
      </w:r>
      <w:bookmarkEnd w:id="51"/>
      <w:bookmarkEnd w:id="52"/>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1.9.1 第一章“招标公告”或“投标邀请书”规定组织踏勘现场的，招标人按规定的时间、地点组织投标人踏勘项目现场。部分投标人未按时参加踏勘现场的，不影响踏勘现场的正常进行。招标人不得组织单个或部分投标人踏勘项目现场。</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1.9.2 投标人踏勘现场发生的费用自理。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1.9.3 除招标人的原因外，投标人自行负责在踏勘现场中所发生的人员伤亡和财产损失。</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1.9.4 招标人在踏勘现场中介绍的工程场地和相关的周边环境情况，供投标人在编制投标文件时参考，招标人不对投标人据此作出的判断和决策负责。</w:t>
      </w:r>
    </w:p>
    <w:p>
      <w:pPr>
        <w:pStyle w:val="3"/>
        <w:spacing w:before="240" w:after="240" w:line="440" w:lineRule="atLeast"/>
        <w:rPr>
          <w:rFonts w:hint="eastAsia" w:ascii="宋体" w:hAnsi="宋体" w:eastAsia="宋体" w:cs="宋体"/>
          <w:b w:val="0"/>
          <w:sz w:val="24"/>
          <w:szCs w:val="24"/>
          <w:highlight w:val="none"/>
        </w:rPr>
      </w:pPr>
      <w:bookmarkStart w:id="53" w:name="_Toc510015685"/>
      <w:bookmarkStart w:id="54" w:name="_Toc503235752"/>
      <w:r>
        <w:rPr>
          <w:rFonts w:hint="eastAsia" w:ascii="宋体" w:hAnsi="宋体" w:eastAsia="宋体" w:cs="宋体"/>
          <w:b w:val="0"/>
          <w:sz w:val="24"/>
          <w:szCs w:val="24"/>
          <w:highlight w:val="none"/>
        </w:rPr>
        <w:t>1.10 投标预备会</w:t>
      </w:r>
      <w:bookmarkEnd w:id="53"/>
      <w:bookmarkEnd w:id="54"/>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1.10.1 第一章“招标公告”或“投标邀请书”规定召开投标预备会的，招标人按规定的时间和地点召开投标预备会，澄清投标人提出的问题。</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1.10.2 投标人应按投标人须知前附表规定的时间和形式将提出的问题送达招标人，以便招标人在会议期间澄清。</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1.10.3 投标预备会后，招标人将对投标人所提问题的澄清，以本章第2.2款规定的形式通知所有购买招标文件的投标人。该澄清内容为招标文件的组成部分。</w:t>
      </w:r>
    </w:p>
    <w:p>
      <w:pPr>
        <w:pStyle w:val="3"/>
        <w:spacing w:before="240" w:after="240" w:line="440" w:lineRule="atLeast"/>
        <w:rPr>
          <w:rFonts w:hint="eastAsia" w:ascii="宋体" w:hAnsi="宋体" w:eastAsia="宋体" w:cs="宋体"/>
          <w:b w:val="0"/>
          <w:sz w:val="24"/>
          <w:szCs w:val="24"/>
          <w:highlight w:val="none"/>
        </w:rPr>
      </w:pPr>
      <w:bookmarkStart w:id="55" w:name="_Toc503235753"/>
      <w:bookmarkStart w:id="56" w:name="_Toc510015686"/>
      <w:r>
        <w:rPr>
          <w:rFonts w:hint="eastAsia" w:ascii="宋体" w:hAnsi="宋体" w:eastAsia="宋体" w:cs="宋体"/>
          <w:b w:val="0"/>
          <w:sz w:val="24"/>
          <w:szCs w:val="24"/>
          <w:highlight w:val="none"/>
        </w:rPr>
        <w:t>1.11 分包</w:t>
      </w:r>
      <w:bookmarkEnd w:id="55"/>
      <w:bookmarkEnd w:id="56"/>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1.11.1 投标人拟在中标后将中标项目的非主体、非关键性咨询服务工作进行分包的，应符合以下规定：</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（1）分包内容要求：招标人允许分包或不允许分包的工程（如有）应在投标人须知前附表中载明。</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（2）接受分包的第三人资格要求：分包人的资格能力应与其分包工程的标准和规模相适应，且具备投标人须知前附表中规定的资格条件。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（3）其他要求：投标人如有分包计划，应按第七章“投标文件格式”的要求填写“拟分包项目情况表”，明确拟分包的工程及规模，且投标人中标后的分包应满足合同条款第4.3款的相关要求。</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1.11.2 中标人不得向他人转让中标项目，接受分包的人不得再次分包。中标人应就分包项目向招标人负责，接受分包的人就分包项目承担连带责任。</w:t>
      </w:r>
    </w:p>
    <w:p>
      <w:pPr>
        <w:pStyle w:val="3"/>
        <w:spacing w:before="240" w:after="240" w:line="440" w:lineRule="atLeast"/>
        <w:rPr>
          <w:rFonts w:hint="eastAsia" w:ascii="宋体" w:hAnsi="宋体" w:eastAsia="宋体" w:cs="宋体"/>
          <w:b w:val="0"/>
          <w:sz w:val="24"/>
          <w:szCs w:val="24"/>
          <w:highlight w:val="none"/>
        </w:rPr>
      </w:pPr>
      <w:bookmarkStart w:id="57" w:name="_Toc503235754"/>
      <w:bookmarkStart w:id="58" w:name="_Toc510015687"/>
      <w:r>
        <w:rPr>
          <w:rFonts w:hint="eastAsia" w:ascii="宋体" w:hAnsi="宋体" w:eastAsia="宋体" w:cs="宋体"/>
          <w:b w:val="0"/>
          <w:sz w:val="24"/>
          <w:szCs w:val="24"/>
          <w:highlight w:val="none"/>
        </w:rPr>
        <w:t>1.12 响应和偏差</w:t>
      </w:r>
      <w:bookmarkEnd w:id="57"/>
      <w:bookmarkEnd w:id="58"/>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1.12.1 投标文件偏离招标文件某些要求，视为投标文件存在偏差。偏差包括重大偏差和细微偏差。</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1.12.2 投标文件应对招标文件的实质性要求和条件作出满足性或更有利于招标人的响应，否则，视为投标文件存在重大偏差，投标人的投标将被否决。</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投标文件存在第三章“评标办法”中所列任一否决投标情形的，均属于存在重大偏差。</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1.12.3 投标文件中的下列偏差为细微偏差：</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（1）在按照第三章“评标办法”的规定对投标价进行算术性错误修正后，最终投标报价未超过最高投标限价（如有）的情况下，出现第三章“评标办法”规定的算术性错误；</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（2）技术建议书不够完善；</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（3）投标文件页码不连续、采用活页夹装订、个别文字有遗漏错误等不影响投标文件实质性内容的偏差。</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1.12.4 评标委员会对投标文件中的细微偏差按如下规定处理：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（1）对于本章第1.12.3项（1）目所述的细微偏差，按照第三章“评标办法”的规定予以修正并要求投标人进行澄清；</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（2）对于本章第1.12.3项（2）、（3）目所述的细微偏差，可在相关评分因素的评分中酌情扣分。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1.12.5 投标人应根据招标文件的要求提供技术建议书等内容以对招标文件作出响应。</w:t>
      </w:r>
    </w:p>
    <w:p>
      <w:pPr>
        <w:pStyle w:val="3"/>
        <w:spacing w:before="360" w:after="240" w:line="440" w:lineRule="atLeast"/>
        <w:rPr>
          <w:rFonts w:hint="eastAsia" w:ascii="宋体" w:hAnsi="宋体" w:eastAsia="宋体" w:cs="宋体"/>
          <w:b w:val="0"/>
          <w:sz w:val="28"/>
          <w:szCs w:val="28"/>
          <w:highlight w:val="none"/>
        </w:rPr>
      </w:pPr>
      <w:bookmarkStart w:id="59" w:name="_Toc510015688"/>
      <w:bookmarkStart w:id="60" w:name="_Toc503235755"/>
      <w:r>
        <w:rPr>
          <w:rFonts w:hint="eastAsia" w:ascii="宋体" w:hAnsi="宋体" w:eastAsia="宋体" w:cs="宋体"/>
          <w:b w:val="0"/>
          <w:sz w:val="28"/>
          <w:szCs w:val="28"/>
          <w:highlight w:val="none"/>
        </w:rPr>
        <w:t>2. 招标文件</w:t>
      </w:r>
      <w:bookmarkEnd w:id="59"/>
      <w:bookmarkEnd w:id="60"/>
    </w:p>
    <w:p>
      <w:pPr>
        <w:pStyle w:val="3"/>
        <w:spacing w:before="240" w:after="240" w:line="440" w:lineRule="atLeast"/>
        <w:rPr>
          <w:rFonts w:hint="eastAsia" w:ascii="宋体" w:hAnsi="宋体" w:eastAsia="宋体" w:cs="宋体"/>
          <w:b w:val="0"/>
          <w:sz w:val="24"/>
          <w:szCs w:val="24"/>
          <w:highlight w:val="none"/>
        </w:rPr>
      </w:pPr>
      <w:bookmarkStart w:id="61" w:name="_Toc510015689"/>
      <w:bookmarkStart w:id="62" w:name="_Toc503235756"/>
      <w:r>
        <w:rPr>
          <w:rFonts w:hint="eastAsia" w:ascii="宋体" w:hAnsi="宋体" w:eastAsia="宋体" w:cs="宋体"/>
          <w:b w:val="0"/>
          <w:sz w:val="24"/>
          <w:szCs w:val="24"/>
          <w:highlight w:val="none"/>
        </w:rPr>
        <w:t>2.1 招标文件的组成</w:t>
      </w:r>
      <w:bookmarkEnd w:id="61"/>
      <w:bookmarkEnd w:id="62"/>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本招标文件包括：</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（1）招标公告（或投标邀请书）；</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（2）投标人须知；</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（3）评标办法；</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（4）合同条款及格式；</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（5）委托人要求；</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（6）图纸和资料；</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（7）投标文件格式；</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（8）投标人须知前附表规定的其他资料。</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根据本章第1.10款、第2.2款和第2.3款对招标文件所作的澄清、修改，构成招标文件的组成部分。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当招标文件、招标文件的澄清或修改等在同一内容的表述上不一致时，以最后发出的书面文件为准。</w:t>
      </w:r>
    </w:p>
    <w:p>
      <w:pPr>
        <w:pStyle w:val="3"/>
        <w:spacing w:before="240" w:after="240" w:line="440" w:lineRule="atLeast"/>
        <w:rPr>
          <w:rFonts w:hint="eastAsia" w:ascii="宋体" w:hAnsi="宋体" w:eastAsia="宋体" w:cs="宋体"/>
          <w:b w:val="0"/>
          <w:sz w:val="24"/>
          <w:szCs w:val="24"/>
          <w:highlight w:val="none"/>
        </w:rPr>
      </w:pPr>
      <w:bookmarkStart w:id="63" w:name="_Toc503235757"/>
      <w:bookmarkStart w:id="64" w:name="_Toc510015690"/>
      <w:r>
        <w:rPr>
          <w:rFonts w:hint="eastAsia" w:ascii="宋体" w:hAnsi="宋体" w:eastAsia="宋体" w:cs="宋体"/>
          <w:b w:val="0"/>
          <w:sz w:val="24"/>
          <w:szCs w:val="24"/>
          <w:highlight w:val="none"/>
        </w:rPr>
        <w:t>2.2 招标文件的澄清</w:t>
      </w:r>
      <w:bookmarkEnd w:id="63"/>
      <w:bookmarkEnd w:id="64"/>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2.2.1 投标人应仔细阅读和检查招标文件的全部内容。如发现缺页或附件不全，应及时向招标人提出，以便补齐。如有疑问，应按投标人须知前附表规定的时间和形式将提出的问题送达招标人，要求招标人对招标文件予以澄清。</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2.2.2 招标文件的澄清以投标人须知前附表规定的形式发给所有购买招标文件的投标人，但不指明澄清问题的来源。澄清发出的时间距本章第4.2.1项规定的投标截止时间不足15日，且澄清内容可能影响投标文件编制的，将相应延长投标截止时间。</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2.2.3 投标人在收到澄清后，应按投标人须知前附表规定的时间和形式通知招标人，确认已收到该澄清。</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2.2.4 除非招标人认为确有必要答复，否则，招标人有权拒绝回复投标人在本章第2.2.1项规定的时间后提出的任何澄清要求。</w:t>
      </w:r>
    </w:p>
    <w:p>
      <w:pPr>
        <w:pStyle w:val="3"/>
        <w:spacing w:before="240" w:after="240" w:line="440" w:lineRule="atLeast"/>
        <w:rPr>
          <w:rFonts w:hint="eastAsia" w:ascii="宋体" w:hAnsi="宋体" w:eastAsia="宋体" w:cs="宋体"/>
          <w:b w:val="0"/>
          <w:sz w:val="24"/>
          <w:szCs w:val="24"/>
          <w:highlight w:val="none"/>
        </w:rPr>
      </w:pPr>
      <w:bookmarkStart w:id="65" w:name="_Toc510015691"/>
      <w:bookmarkStart w:id="66" w:name="_Toc503235758"/>
      <w:r>
        <w:rPr>
          <w:rFonts w:hint="eastAsia" w:ascii="宋体" w:hAnsi="宋体" w:eastAsia="宋体" w:cs="宋体"/>
          <w:b w:val="0"/>
          <w:sz w:val="24"/>
          <w:szCs w:val="24"/>
          <w:highlight w:val="none"/>
        </w:rPr>
        <w:t>2.3 招标文件的修改</w:t>
      </w:r>
      <w:bookmarkEnd w:id="65"/>
      <w:bookmarkEnd w:id="66"/>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2.3.1 招标人以投标人须知前附表规定的形式修改招标文件，并通知所有已购买招标文件的投标人。修改招标文件的时间距本章第4.2.1项规定的投标截止时间不足15日，且修改内容可能影响投标文件编制的，将相应延长投标截止时间。</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2.3.2 投标人收到修改内容后，应按投标人须知前附表规定的时间和形式通知招标人，确认已收到该修改。</w:t>
      </w:r>
    </w:p>
    <w:p>
      <w:pPr>
        <w:pStyle w:val="3"/>
        <w:spacing w:before="240" w:after="240" w:line="440" w:lineRule="atLeast"/>
        <w:rPr>
          <w:rFonts w:hint="eastAsia" w:ascii="宋体" w:hAnsi="宋体" w:eastAsia="宋体" w:cs="宋体"/>
          <w:b w:val="0"/>
          <w:sz w:val="24"/>
          <w:szCs w:val="24"/>
          <w:highlight w:val="none"/>
        </w:rPr>
      </w:pPr>
      <w:bookmarkStart w:id="67" w:name="_Toc510015692"/>
      <w:bookmarkStart w:id="68" w:name="_Toc503235759"/>
      <w:r>
        <w:rPr>
          <w:rFonts w:hint="eastAsia" w:ascii="宋体" w:hAnsi="宋体" w:eastAsia="宋体" w:cs="宋体"/>
          <w:b w:val="0"/>
          <w:sz w:val="24"/>
          <w:szCs w:val="24"/>
          <w:highlight w:val="none"/>
        </w:rPr>
        <w:t>2.4 招标文件的异议</w:t>
      </w:r>
      <w:bookmarkEnd w:id="67"/>
      <w:bookmarkEnd w:id="68"/>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投标人或其他利害关系人对招标文件有异议的，应在投标截止时间10日前以书面形式提出。招标人将在收到异议之日起3日内作出答复；作出答复前，将暂停招标投标活动。</w:t>
      </w:r>
    </w:p>
    <w:p>
      <w:pPr>
        <w:pStyle w:val="3"/>
        <w:spacing w:before="360" w:after="240" w:line="440" w:lineRule="atLeast"/>
        <w:rPr>
          <w:rFonts w:hint="eastAsia" w:ascii="宋体" w:hAnsi="宋体" w:eastAsia="宋体" w:cs="宋体"/>
          <w:b w:val="0"/>
          <w:sz w:val="28"/>
          <w:szCs w:val="28"/>
          <w:highlight w:val="none"/>
        </w:rPr>
      </w:pPr>
      <w:bookmarkStart w:id="69" w:name="_Toc503235760"/>
      <w:bookmarkStart w:id="70" w:name="_Toc510015693"/>
      <w:r>
        <w:rPr>
          <w:rFonts w:hint="eastAsia" w:ascii="宋体" w:hAnsi="宋体" w:eastAsia="宋体" w:cs="宋体"/>
          <w:b w:val="0"/>
          <w:sz w:val="28"/>
          <w:szCs w:val="28"/>
          <w:highlight w:val="none"/>
        </w:rPr>
        <w:t>3. 投标文件</w:t>
      </w:r>
      <w:bookmarkEnd w:id="69"/>
      <w:bookmarkEnd w:id="70"/>
    </w:p>
    <w:p>
      <w:pPr>
        <w:pStyle w:val="3"/>
        <w:spacing w:before="240" w:after="240" w:line="440" w:lineRule="atLeast"/>
        <w:rPr>
          <w:rFonts w:hint="eastAsia" w:ascii="宋体" w:hAnsi="宋体" w:eastAsia="宋体" w:cs="宋体"/>
          <w:b w:val="0"/>
          <w:sz w:val="24"/>
          <w:szCs w:val="24"/>
          <w:highlight w:val="none"/>
        </w:rPr>
      </w:pPr>
      <w:bookmarkStart w:id="71" w:name="_Toc503235761"/>
      <w:bookmarkStart w:id="72" w:name="_Toc510015694"/>
      <w:r>
        <w:rPr>
          <w:rFonts w:hint="eastAsia" w:ascii="宋体" w:hAnsi="宋体" w:eastAsia="宋体" w:cs="宋体"/>
          <w:b w:val="0"/>
          <w:sz w:val="24"/>
          <w:szCs w:val="24"/>
          <w:highlight w:val="none"/>
        </w:rPr>
        <w:t>3.1 投标文件的组成</w:t>
      </w:r>
      <w:bookmarkEnd w:id="71"/>
      <w:bookmarkEnd w:id="72"/>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3.1.1 投标文件应采用双信封形式，包括下列内容：</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第一个信封（商务及技术文件）：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（1）投标函；</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（2）授权委托书或法定代表人身份证明；</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（3）联合体协议书；</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 xml:space="preserve">（4）投标保证金；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 xml:space="preserve">（5）拟分包项目情况表；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（6）资格审查资料；</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（7）技术建议书；</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（8）投标人须知前附表规定的其他资料。</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第二个信封（报价文件）：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（1）投标函；</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（2）咨询服务费用清单。</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投标人在评标过程中作出的符合法律法规和招标文件规定的澄清确认，构成投标文件的组成部分。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3.1.2 投标人须知前附表规定不接受联合体投标的，或投标人没有组成联合体的，投标文件不包括本章第3.1.1（3）目所指的联合体协议书。</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3.1.3 投标人须知前附表未要求提交投标保证金的，投标文件不包括本章第3.1.1（4）目所指的投标保证金。</w:t>
      </w:r>
    </w:p>
    <w:p>
      <w:pPr>
        <w:pStyle w:val="3"/>
        <w:spacing w:before="240" w:after="240" w:line="440" w:lineRule="atLeast"/>
        <w:rPr>
          <w:rFonts w:hint="eastAsia" w:ascii="宋体" w:hAnsi="宋体" w:eastAsia="宋体" w:cs="宋体"/>
          <w:b w:val="0"/>
          <w:sz w:val="24"/>
          <w:szCs w:val="24"/>
          <w:highlight w:val="none"/>
        </w:rPr>
      </w:pPr>
      <w:bookmarkStart w:id="73" w:name="_Toc510015695"/>
      <w:bookmarkStart w:id="74" w:name="_Toc503235762"/>
      <w:r>
        <w:rPr>
          <w:rFonts w:hint="eastAsia" w:ascii="宋体" w:hAnsi="宋体" w:eastAsia="宋体" w:cs="宋体"/>
          <w:b w:val="0"/>
          <w:sz w:val="24"/>
          <w:szCs w:val="24"/>
          <w:highlight w:val="none"/>
        </w:rPr>
        <w:t>3.2 投标报价</w:t>
      </w:r>
      <w:bookmarkEnd w:id="73"/>
      <w:bookmarkEnd w:id="74"/>
      <w:r>
        <w:rPr>
          <w:rFonts w:hint="eastAsia" w:ascii="宋体" w:hAnsi="宋体" w:eastAsia="宋体" w:cs="宋体"/>
          <w:b w:val="0"/>
          <w:sz w:val="24"/>
          <w:szCs w:val="24"/>
          <w:highlight w:val="none"/>
        </w:rPr>
        <w:t xml:space="preserve">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3.2.1 投标报价应包括国家规定的增值税税金，除投标人须知前附表另有规定外，增值税税金按一般计税方法计算。投标人应按第七章“投标文件格式”的要求在投标函中进行报价并填写咨询服务费用清单相应表格。</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3.2.2 投标人应充分了解本项目的总体情况以及影响投标报价的其他要素，按照招标文件规定的咨询服务工作内容和计划工作量，自行测算咨询服务费用。投标报价应涵盖投标人完成咨询工作所需的全部费用。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投标人应按照“投标文件格式”中“咨询服务费用清单”的要求填报咨询服务费。投标人未填报的部分，在工程实施时委托人将不予支付，并认为该部分费用已包含在报价中。</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3.2.3</w:t>
      </w:r>
      <w:bookmarkStart w:id="75" w:name="_Toc144974511"/>
      <w:bookmarkEnd w:id="75"/>
      <w:bookmarkStart w:id="76" w:name="_Toc15242"/>
      <w:bookmarkEnd w:id="76"/>
      <w:bookmarkStart w:id="77" w:name="_Toc369531530"/>
      <w:bookmarkEnd w:id="77"/>
      <w:bookmarkStart w:id="78" w:name="_Toc247513967"/>
      <w:bookmarkEnd w:id="78"/>
      <w:bookmarkStart w:id="79" w:name="_Toc152045543"/>
      <w:bookmarkEnd w:id="79"/>
      <w:bookmarkStart w:id="80" w:name="_Toc352691487"/>
      <w:bookmarkEnd w:id="80"/>
      <w:bookmarkStart w:id="81" w:name="_Toc300834964"/>
      <w:bookmarkEnd w:id="81"/>
      <w:bookmarkStart w:id="82" w:name="_Toc384308224"/>
      <w:bookmarkEnd w:id="82"/>
      <w:bookmarkStart w:id="83" w:name="_Toc152042319"/>
      <w:bookmarkEnd w:id="83"/>
      <w:bookmarkStart w:id="84" w:name="_Toc361508599"/>
      <w:bookmarkEnd w:id="84"/>
      <w:bookmarkStart w:id="85" w:name="_Toc247527568"/>
      <w:bookmarkEnd w:id="85"/>
      <w:r>
        <w:rPr>
          <w:rFonts w:hint="eastAsia" w:ascii="宋体" w:hAnsi="宋体" w:eastAsia="宋体" w:cs="宋体"/>
          <w:sz w:val="24"/>
          <w:highlight w:val="none"/>
        </w:rPr>
        <w:t xml:space="preserve"> 本项目的报价方式见投标人须知前附表。投标人在投标截止时间前修改投标函中的投标报价总额，应同时修改投标文件“咨询服务费用清单”中的相应报价。此修改须符合本章第4.3款的有关要求。</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3.2.4 招标人设有最高投标限价的，投标人的投标报价不得超过最高投标限价，最高投标限价在投标</w:t>
      </w:r>
      <w:bookmarkStart w:id="86" w:name="_Toc247513968"/>
      <w:bookmarkStart w:id="87" w:name="_Toc384308225"/>
      <w:bookmarkStart w:id="88" w:name="_Toc10429"/>
      <w:bookmarkStart w:id="89" w:name="_Toc144974512"/>
      <w:bookmarkStart w:id="90" w:name="_Toc361508600"/>
      <w:bookmarkStart w:id="91" w:name="_Toc152042320"/>
      <w:bookmarkStart w:id="92" w:name="_Toc152045544"/>
      <w:bookmarkStart w:id="93" w:name="_Toc369531531"/>
      <w:bookmarkStart w:id="94" w:name="_Toc247527569"/>
      <w:bookmarkStart w:id="95" w:name="_Toc352691488"/>
      <w:bookmarkStart w:id="96" w:name="_Toc300834965"/>
      <w:r>
        <w:rPr>
          <w:rFonts w:hint="eastAsia" w:ascii="宋体" w:hAnsi="宋体" w:eastAsia="宋体" w:cs="宋体"/>
          <w:sz w:val="24"/>
          <w:highlight w:val="none"/>
        </w:rPr>
        <w:t>人须知前附表中载明。</w:t>
      </w:r>
      <w:bookmarkEnd w:id="86"/>
      <w:bookmarkEnd w:id="87"/>
      <w:bookmarkEnd w:id="88"/>
      <w:bookmarkEnd w:id="89"/>
      <w:bookmarkEnd w:id="90"/>
      <w:bookmarkEnd w:id="91"/>
      <w:bookmarkEnd w:id="92"/>
      <w:bookmarkEnd w:id="93"/>
      <w:bookmarkEnd w:id="94"/>
      <w:bookmarkEnd w:id="95"/>
      <w:bookmarkEnd w:id="96"/>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3.2.5 投标报价的其他要求见投标人须知前附表。</w:t>
      </w:r>
    </w:p>
    <w:p>
      <w:pPr>
        <w:pStyle w:val="3"/>
        <w:spacing w:before="240" w:after="240" w:line="440" w:lineRule="atLeast"/>
        <w:rPr>
          <w:rFonts w:hint="eastAsia" w:ascii="宋体" w:hAnsi="宋体" w:eastAsia="宋体" w:cs="宋体"/>
          <w:b w:val="0"/>
          <w:sz w:val="24"/>
          <w:szCs w:val="24"/>
          <w:highlight w:val="none"/>
        </w:rPr>
      </w:pPr>
      <w:bookmarkStart w:id="97" w:name="_Toc510015696"/>
      <w:bookmarkStart w:id="98" w:name="_Toc503235763"/>
      <w:r>
        <w:rPr>
          <w:rFonts w:hint="eastAsia" w:ascii="宋体" w:hAnsi="宋体" w:eastAsia="宋体" w:cs="宋体"/>
          <w:b w:val="0"/>
          <w:sz w:val="24"/>
          <w:szCs w:val="24"/>
          <w:highlight w:val="none"/>
        </w:rPr>
        <w:t>3.3 投标有效期</w:t>
      </w:r>
      <w:bookmarkEnd w:id="97"/>
      <w:bookmarkEnd w:id="98"/>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3.3.1 除投标人须知前附表另有规定外，投标有效期为90日。</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3.3.2 在投标有效期内，投标人撤销投标文件的，应承担招标文件和法律规定的责任。</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3.3.3 出现特殊情况需要延长投标有效期的，招标人以书面形式通知所有投标人延长投标有效期。投标人应予以书面答复，同意延长的，应相应延长其投标保证金的有效期，但不得要求或被允许修改其投标文件；投标人拒绝延长的，其投标失效，但投标人有权收回其投标保证金及以现金或支票形式递交的投标保证金的银行同期活期存款利息。</w:t>
      </w:r>
    </w:p>
    <w:p>
      <w:pPr>
        <w:pStyle w:val="3"/>
        <w:spacing w:before="240" w:after="240" w:line="440" w:lineRule="atLeast"/>
        <w:rPr>
          <w:rFonts w:hint="eastAsia" w:ascii="宋体" w:hAnsi="宋体" w:eastAsia="宋体" w:cs="宋体"/>
          <w:b w:val="0"/>
          <w:sz w:val="24"/>
          <w:szCs w:val="24"/>
          <w:highlight w:val="none"/>
        </w:rPr>
      </w:pPr>
      <w:bookmarkStart w:id="99" w:name="_Toc503235764"/>
      <w:bookmarkStart w:id="100" w:name="_Toc510015697"/>
      <w:r>
        <w:rPr>
          <w:rFonts w:hint="eastAsia" w:ascii="宋体" w:hAnsi="宋体" w:eastAsia="宋体" w:cs="宋体"/>
          <w:b w:val="0"/>
          <w:sz w:val="24"/>
          <w:szCs w:val="24"/>
          <w:highlight w:val="none"/>
        </w:rPr>
        <w:t>3.4 投标保证金</w:t>
      </w:r>
      <w:bookmarkEnd w:id="99"/>
      <w:bookmarkEnd w:id="100"/>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3.4.1 投标人在递交投标文件的同时，应按投标人须知前附表规定的金额</w:t>
      </w:r>
      <w:r>
        <w:rPr>
          <w:rFonts w:hint="eastAsia" w:ascii="宋体" w:hAnsi="宋体" w:eastAsia="宋体" w:cs="宋体"/>
          <w:sz w:val="24"/>
          <w:highlight w:val="none"/>
          <w:vertAlign w:val="superscript"/>
        </w:rPr>
        <w:footnoteReference w:id="6"/>
      </w:r>
      <w:r>
        <w:rPr>
          <w:rFonts w:hint="eastAsia" w:ascii="宋体" w:hAnsi="宋体" w:eastAsia="宋体" w:cs="宋体"/>
          <w:sz w:val="24"/>
          <w:highlight w:val="none"/>
        </w:rPr>
        <w:t>和第七章“投标文件格式”规定的投标保证金格式递交投标保证金，并作为其投标文件的组成部分。联合体投标的，其投标保证金由牵头人递交，并应符合投标人须知前附表的规定。</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投标保证金应采用现金、支票、银行保函或招标人在投标人须知前附表规定的其他形式。</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（1）若采用现金或支票，投标人应在递交投标文件截止时间之前，将投标保证金由投标人的基本账户转入招标人指定账户，否则视为投标保证金无效。招标人指定的开户银行及账号见投标人须知前附表。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（2）若采用银行保函，则应由符合投标人须知前附表规定级别的银行开具，并采用招标文件提供的格式。银行保函复印件装订在投标文件内，原件应在递交投标文件截止时间之前单独密封递交给招标人。</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无论采取何种形式的投标保证金，投标保证金有效期均应与投标有效期一致。招标人如果按本章第3.3.3项的规定延长了投标有效期，则投标保证金的有效期也相应延长。</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3.4.2 投标人不按本章第3.4.1项要求提交投标保证金的，评标委员会将否决其投标。</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3.4.3 招标人最迟将在中标通知书发出后5日内向中标候选人以外的其他投标人退还投标保证金，与中标人签订合同后5日内向中标人和其他中标候选人退还投标保证金。投标保证金以现金或支票形式递交的，招标人应同时退还投标保证金的银行同期活期存款利息，且退还至投标人的基本账户。</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利息计算原则见投标人须知前附表。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3.4.4 有下列情形之一的，投标保证金将不予退还：</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（1）投标人在投标有效期内撤销投标文件；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（2）中标人在收到中标通知书后，无正当理由不与招标人订立合同，在签订合同时向招标人提出附加条件，或不按照招标文件要求提交履约保证金；</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（3）发生投标人须知前附表规定的其他可以不予退还投标保证金的情形。</w:t>
      </w:r>
    </w:p>
    <w:p>
      <w:pPr>
        <w:pStyle w:val="3"/>
        <w:spacing w:before="240" w:after="240" w:line="440" w:lineRule="atLeast"/>
        <w:rPr>
          <w:rFonts w:hint="eastAsia" w:ascii="宋体" w:hAnsi="宋体" w:eastAsia="宋体" w:cs="宋体"/>
          <w:b w:val="0"/>
          <w:sz w:val="24"/>
          <w:szCs w:val="24"/>
          <w:highlight w:val="none"/>
        </w:rPr>
      </w:pPr>
      <w:bookmarkStart w:id="101" w:name="_Toc510015698"/>
      <w:bookmarkStart w:id="102" w:name="_Toc503235765"/>
      <w:r>
        <w:rPr>
          <w:rFonts w:hint="eastAsia" w:ascii="宋体" w:hAnsi="宋体" w:eastAsia="宋体" w:cs="宋体"/>
          <w:b w:val="0"/>
          <w:sz w:val="24"/>
          <w:szCs w:val="24"/>
          <w:highlight w:val="none"/>
        </w:rPr>
        <w:t>3.5 资格审查资料（适用于已进行资格预审的）</w:t>
      </w:r>
      <w:bookmarkEnd w:id="101"/>
      <w:bookmarkEnd w:id="102"/>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3.5.1 投标人在递交投标文件前，发生可能影响其投标资格的新情况的，应在投标文件中更新或补充其在申请资格预审时提供的资料，以证实其各项资格条件仍能继续满足资格预审文件的要求。</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3.5.2 如果投标人在投标阶段发生合并、分立、破产等重大变化，或发生重大安全或质量事故，或由于其他任何情况，导致投标人不再具备资格预审文件规定的各项资格条件或其投标影响招标公正性时，投标人必须在其投标文件中对上述情况进行如实说明，否则，招标人一经查实，将视为投标人弄虚作假，其投标将被否决。</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3.5.3 招标人有权核查投标人在资格预审申请文件和投标文件中提供的资料，若在评标期间发现投标人提供了虚假资料，其投标将被否决；若在签订合同前发现作为中标候选人的投标人提供了虚假资料，招标人有权取消其中标资格；若在合同实施期间发现投标人提供了虚假资料，招标人有权从合同价款或履约保证金中扣除不超过5%签约合同价的金额作为违约金。同时招标人将投标人上述弄虚作假行为上报省级交通运输主管部门，作为不良记录纳入公路建设市场信用信息管理系统。</w:t>
      </w:r>
    </w:p>
    <w:p>
      <w:pPr>
        <w:pStyle w:val="3"/>
        <w:spacing w:before="240" w:after="240" w:line="440" w:lineRule="atLeast"/>
        <w:rPr>
          <w:rFonts w:hint="eastAsia" w:ascii="宋体" w:hAnsi="宋体" w:eastAsia="宋体" w:cs="宋体"/>
          <w:b w:val="0"/>
          <w:sz w:val="24"/>
          <w:szCs w:val="24"/>
          <w:highlight w:val="none"/>
        </w:rPr>
      </w:pPr>
      <w:bookmarkStart w:id="103" w:name="_Toc503235766"/>
      <w:bookmarkStart w:id="104" w:name="_Toc510015699"/>
      <w:r>
        <w:rPr>
          <w:rFonts w:hint="eastAsia" w:ascii="宋体" w:hAnsi="宋体" w:eastAsia="宋体" w:cs="宋体"/>
          <w:b w:val="0"/>
          <w:sz w:val="24"/>
          <w:szCs w:val="24"/>
          <w:highlight w:val="none"/>
        </w:rPr>
        <w:t>3.5 资格审查资料（适用于未进行资格预审的）</w:t>
      </w:r>
      <w:bookmarkEnd w:id="103"/>
      <w:bookmarkEnd w:id="104"/>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除投标人须知前附表另有规定外，投标人应按下列规定提供资格审查资料，以证明其满足本章第1.4款规定的资质、业绩、信誉等要求。</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3.5.1 “投标人基本情况表”应附企业法人营业执照副本和组织机构代码证副本（按照“三证合一”或“五证合一”登记制度进行登记的，可仅提供营业执照副本，下同）、资质证书副本（如需要）、基本账户开户许可证的复印件</w:t>
      </w:r>
      <w:r>
        <w:rPr>
          <w:rFonts w:hint="eastAsia" w:ascii="宋体" w:hAnsi="宋体" w:eastAsia="宋体" w:cs="宋体"/>
          <w:sz w:val="24"/>
          <w:highlight w:val="none"/>
          <w:vertAlign w:val="superscript"/>
        </w:rPr>
        <w:footnoteReference w:id="7"/>
      </w:r>
      <w:r>
        <w:rPr>
          <w:rFonts w:hint="eastAsia" w:ascii="宋体" w:hAnsi="宋体" w:eastAsia="宋体" w:cs="宋体"/>
          <w:sz w:val="24"/>
          <w:highlight w:val="none"/>
        </w:rPr>
        <w:t>，以及投标人在国家企业信用信息公示系统中基础信息（体现股东及出资详细信息）的网页截图或由法定的社会验资机构出具的验资报告或注册地工商部门出具的股东出资情况证明复印件。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企业法人营业执照副本和组织机构代码证副本、资质证书副本（如需要）、基本账户开户许可证的复印件应提供全本（证书封面、封底、空白页除外），应包括投标人名称、投标人其他相关信息、颁发机构名称、投标人信息变更情况等关键页在内，并逐页加盖投标人单位章。</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3.5.2 “近年完成的类似项目”应附合同协议书的复印件，具体时间要求见投标人须知前附表。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如投标人提供的类似项目信息无法证实投标人满足招标文件规定的资格审查条件（业绩最低要求），则该项目业绩不予认定。</w:t>
      </w:r>
    </w:p>
    <w:p>
      <w:pPr>
        <w:spacing w:line="40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3.5.3 “投标人的信誉情况表”应附投标人在国家企业信用信息公示系统中未被列入严重违法失信企业名单、在“信用中国”网站中未被列入失信被执行人名单的网页截图复印件，以及由项目所在地或投标人住所地检察机关职务犯罪预防部门出具的近三年内投标人及其法定代表人、拟委任的项目负责人均无行贿犯罪行为的查询记录证明原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 xml:space="preserve"> 3.5.4 “拟委任的项目负责人资历表”应附项目负责人的身份证、职称资格证书和资格审查条件所要求的其他相关证书（如注册造价工程师证书、注册结构工程师等）的复印件，以及投标人所属社保机构出具的拟委任的项目负责人的社保缴费证明或其他能够证明拟委任的项目负责人参加社保的有效证明材料复印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如投标人提供的项目负责人相关业绩信息无法证实投标人满足招标文件规定的资格审查条件（项目负责人最低要求），则该业绩不予认定。</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3.5.5 “拟委任的其他主要咨询人员汇总表”（如有）应填报满足投标人须知前附表附录5规定的其他主要咨询人员的相关信息。“拟委任的其他主要咨询人员资历表”（如有）中相关人员应附身份证、职称资格证书和资格审查条件所要求的其他相关证书（如注册造价工程师证书、注册结构工程师等）的复印件，相关业绩证明材料复印件，以及投标人所属社保机构出具的社保缴费证明或其他能够证明其参加社保的有效证明材料复印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3.5.6 投标人须知前附表规定接受联合体投标的，本章第3.5.1项至第3.5.5项规定的表格和资料应包括联合体各方相关情况。</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3.5.7 除合同条款约定的特殊情形外，投标人在投标文件中填报的项目负责人不允许更换。</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3.5.8 招标人有权核查投标人在投标文件中提供的资料，若在评标期间发现投标人提供了虚假资料，其投标将被否决；若在签订合同前发现作为中标候选人的投标人提供了虚假资料，招标人有权取消其中标资格；若在合同实施期间发现投标人提供了虚假资料，招标人有权从合同价款或履约保证金中扣除不超过5％签约合同价的金额作为违约金。同时招标人将投标人上述弄虚作假行为上报省级交通运输主管部门，作为不良记录纳入公路建设市场信用信息管理系统。</w:t>
      </w:r>
    </w:p>
    <w:p>
      <w:pPr>
        <w:pStyle w:val="3"/>
        <w:spacing w:before="240" w:after="240" w:line="440" w:lineRule="atLeast"/>
        <w:rPr>
          <w:rFonts w:hint="eastAsia" w:ascii="宋体" w:hAnsi="宋体" w:eastAsia="宋体" w:cs="宋体"/>
          <w:b w:val="0"/>
          <w:sz w:val="24"/>
          <w:szCs w:val="24"/>
          <w:highlight w:val="none"/>
        </w:rPr>
      </w:pPr>
      <w:bookmarkStart w:id="105" w:name="_Toc510015700"/>
      <w:bookmarkStart w:id="106" w:name="_Toc503235767"/>
      <w:r>
        <w:rPr>
          <w:rFonts w:hint="eastAsia" w:ascii="宋体" w:hAnsi="宋体" w:eastAsia="宋体" w:cs="宋体"/>
          <w:b w:val="0"/>
          <w:sz w:val="24"/>
          <w:szCs w:val="24"/>
          <w:highlight w:val="none"/>
        </w:rPr>
        <w:t>3.6 备选投标方案</w:t>
      </w:r>
      <w:bookmarkEnd w:id="105"/>
      <w:bookmarkEnd w:id="106"/>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3.6.1 除投标人须知前附表规定允许外，投标人不得递交备选投标方案，否则其投标将被否决。</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3.6.2 允许投标人递交备选投标方案的，只有中标人所递交的备选投标方案方可予以考虑。评标委员会认为中标人的备选投标方案优于其按照招标文件要求编制的投标方案的，招标人可以接受该备选投标方案。</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3.6.3 投标人提供两个或两个以上投标报价，或在投标文件中提供一个报价，但同时提供两个或两个以上</w:t>
      </w:r>
      <w:bookmarkStart w:id="107" w:name="_Toc361508607"/>
      <w:bookmarkStart w:id="108" w:name="_Toc152045550"/>
      <w:bookmarkStart w:id="109" w:name="_Toc384308232"/>
      <w:bookmarkStart w:id="110" w:name="_Toc352691495"/>
      <w:bookmarkStart w:id="111" w:name="_Toc29902"/>
      <w:bookmarkStart w:id="112" w:name="_Toc300834971"/>
      <w:bookmarkStart w:id="113" w:name="_Toc369531538"/>
      <w:bookmarkStart w:id="114" w:name="_Toc152042326"/>
      <w:bookmarkStart w:id="115" w:name="_Toc144974518"/>
      <w:bookmarkStart w:id="116" w:name="_Toc247527575"/>
      <w:bookmarkStart w:id="117" w:name="_Toc247513974"/>
      <w:r>
        <w:rPr>
          <w:rFonts w:hint="eastAsia" w:ascii="宋体" w:hAnsi="宋体" w:eastAsia="宋体" w:cs="宋体"/>
          <w:sz w:val="24"/>
          <w:highlight w:val="none"/>
        </w:rPr>
        <w:t>技术建议书的</w:t>
      </w:r>
      <w:bookmarkEnd w:id="107"/>
      <w:bookmarkEnd w:id="108"/>
      <w:bookmarkEnd w:id="109"/>
      <w:bookmarkEnd w:id="110"/>
      <w:bookmarkEnd w:id="111"/>
      <w:bookmarkEnd w:id="112"/>
      <w:bookmarkEnd w:id="113"/>
      <w:bookmarkEnd w:id="114"/>
      <w:bookmarkEnd w:id="115"/>
      <w:bookmarkEnd w:id="116"/>
      <w:bookmarkEnd w:id="117"/>
      <w:r>
        <w:rPr>
          <w:rFonts w:hint="eastAsia" w:ascii="宋体" w:hAnsi="宋体" w:eastAsia="宋体" w:cs="宋体"/>
          <w:sz w:val="24"/>
          <w:highlight w:val="none"/>
        </w:rPr>
        <w:t>，视为提供备选方案。</w:t>
      </w:r>
    </w:p>
    <w:p>
      <w:pPr>
        <w:pStyle w:val="3"/>
        <w:spacing w:before="240" w:after="240" w:line="440" w:lineRule="atLeast"/>
        <w:rPr>
          <w:rFonts w:hint="eastAsia" w:ascii="宋体" w:hAnsi="宋体" w:eastAsia="宋体" w:cs="宋体"/>
          <w:b w:val="0"/>
          <w:sz w:val="24"/>
          <w:szCs w:val="24"/>
          <w:highlight w:val="none"/>
        </w:rPr>
      </w:pPr>
      <w:bookmarkStart w:id="118" w:name="_Toc503235768"/>
      <w:bookmarkStart w:id="119" w:name="_Toc510015701"/>
      <w:r>
        <w:rPr>
          <w:rFonts w:hint="eastAsia" w:ascii="宋体" w:hAnsi="宋体" w:eastAsia="宋体" w:cs="宋体"/>
          <w:b w:val="0"/>
          <w:sz w:val="24"/>
          <w:szCs w:val="24"/>
          <w:highlight w:val="none"/>
        </w:rPr>
        <w:t>3.7 投标文件的编制</w:t>
      </w:r>
      <w:bookmarkEnd w:id="118"/>
      <w:bookmarkEnd w:id="119"/>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3.7.1 投标文件应按第七章“投标文件格式”进行编写，如有必要，可以增加附页，作为投标文件的组成部分。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3.7.2 投标文件应对招标文件有关咨询服务期限、投标有效期、质量要求、安全目标、委托人要求、招标范围等实质性内容作出响应。</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3.7.3 投标文件应用不褪色的材料书写或打印。投标文件格式中明确要求投标人法定代表人或其委托代理人签字之处，必须由相关人员亲笔签名，不得使用印章、签名章或其他电子制版签名代替；明确要求投标人加盖单位章之处，必须加盖单位章。其中，投标函及对投标文件的澄清和说明应加盖投标人单位章，或由投标人的法定代表人或其委托代理人签字。</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如果投标文件由委托代理人签署，则投标人须提交授权委托书，授权委托书应按第七章“投标文件格式”的要求出具，并由法定代表人和委托代理人亲笔签名，不得使用印章、签名章或其他电子制版签名代替。</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如果由投标人的法定代表人亲自签署投标文件，则投标人须提交法定代表人身份证明，身份证明应符合第七章“投标文件格式”的要求。</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以联合体形式参与投标的，投标文件由联合体牵头人的法定代表人或其委托代理人按上述规定签署并加盖联合体牵头人单位章。法定代表人授权委托书或法定代表人身份证明须由联合体牵头人按上述规定出具。</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投标文件应尽量避免涂改、行间插字或删除。如果出现上述情况，改动之处应由投标人的法定代表人或其授权的代理人签字或盖单位章。</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3.7.4 投标文件正本一份, 副本份数见投标人须知前附表。正本和副本的封面右上角上应清楚地标记“正本”或“副本”字样。投标人应根据投标人须知前附表要求提供电子版文件。当副本和正本不一致或电子版文件和纸质正本文件不一致时，以纸质正本文件为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3.7.5 投标文件的正本与副本应分别装订成册（A4纸幅），编制目录并逐页标注连续页码。投标文件不得采用活页夹装订，否则，招标人对由于投标文件装订松散而造成的丢失或其他后果不承担任何责任。装订的其他要求见投标人须知前附表。</w:t>
      </w:r>
    </w:p>
    <w:p>
      <w:pPr>
        <w:pStyle w:val="3"/>
        <w:spacing w:before="360" w:after="240" w:line="440" w:lineRule="atLeast"/>
        <w:rPr>
          <w:rFonts w:hint="eastAsia" w:ascii="宋体" w:hAnsi="宋体" w:eastAsia="宋体" w:cs="宋体"/>
          <w:b w:val="0"/>
          <w:sz w:val="28"/>
          <w:szCs w:val="28"/>
          <w:highlight w:val="none"/>
        </w:rPr>
      </w:pPr>
      <w:bookmarkStart w:id="120" w:name="_Toc510015702"/>
      <w:bookmarkStart w:id="121" w:name="_Toc503235769"/>
      <w:r>
        <w:rPr>
          <w:rFonts w:hint="eastAsia" w:ascii="宋体" w:hAnsi="宋体" w:eastAsia="宋体" w:cs="宋体"/>
          <w:b w:val="0"/>
          <w:sz w:val="28"/>
          <w:szCs w:val="28"/>
          <w:highlight w:val="none"/>
        </w:rPr>
        <w:t>4. 投标</w:t>
      </w:r>
      <w:bookmarkEnd w:id="120"/>
      <w:bookmarkEnd w:id="121"/>
      <w:r>
        <w:rPr>
          <w:rFonts w:hint="eastAsia" w:ascii="宋体" w:hAnsi="宋体" w:eastAsia="宋体" w:cs="宋体"/>
          <w:b w:val="0"/>
          <w:sz w:val="28"/>
          <w:szCs w:val="28"/>
          <w:highlight w:val="none"/>
        </w:rPr>
        <w:tab/>
      </w:r>
    </w:p>
    <w:p>
      <w:pPr>
        <w:pStyle w:val="3"/>
        <w:spacing w:before="240" w:after="240" w:line="440" w:lineRule="atLeast"/>
        <w:rPr>
          <w:rFonts w:hint="eastAsia" w:ascii="宋体" w:hAnsi="宋体" w:eastAsia="宋体" w:cs="宋体"/>
          <w:b w:val="0"/>
          <w:sz w:val="24"/>
          <w:szCs w:val="24"/>
          <w:highlight w:val="none"/>
        </w:rPr>
      </w:pPr>
      <w:bookmarkStart w:id="122" w:name="_Toc503235770"/>
      <w:bookmarkStart w:id="123" w:name="_Toc510015703"/>
      <w:r>
        <w:rPr>
          <w:rFonts w:hint="eastAsia" w:ascii="宋体" w:hAnsi="宋体" w:eastAsia="宋体" w:cs="宋体"/>
          <w:b w:val="0"/>
          <w:sz w:val="24"/>
          <w:szCs w:val="24"/>
          <w:highlight w:val="none"/>
        </w:rPr>
        <w:t>4.1 投标文件的密封和标识</w:t>
      </w:r>
      <w:bookmarkEnd w:id="122"/>
      <w:bookmarkEnd w:id="123"/>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4.1.1 投标文件应采用双信封形式密封。投标文件第一个信封（商务及技术文件）以及第二个信封（报价文件）应单独密封包装。商务及技术文件的正本与副本应统一密封在一个封套中。报价文件的正本与副本以及投标文件电子版文件（如需要）应统一密封在另一个封套中。封套应加贴封条，并在封套的封口处加盖投标人单位章或由投标人的法定代表人或其委托代理人签字。</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采用银行保函形式提交投标保证金的，银行保函原件应密封在单独的封套中。</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4.1.2 投标文件第一个信封（商务及技术文件）、第二个信封（报价文件）以及银行保函封套上应写明的内容见投标人须知前附表。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4.1.3 未按本章第4.1.1项要求密封的投标文件，招标人将予以拒收。</w:t>
      </w:r>
    </w:p>
    <w:p>
      <w:pPr>
        <w:pStyle w:val="3"/>
        <w:spacing w:before="240" w:after="240" w:line="440" w:lineRule="atLeast"/>
        <w:rPr>
          <w:rFonts w:hint="eastAsia" w:ascii="宋体" w:hAnsi="宋体" w:eastAsia="宋体" w:cs="宋体"/>
          <w:b w:val="0"/>
          <w:sz w:val="24"/>
          <w:szCs w:val="24"/>
          <w:highlight w:val="none"/>
        </w:rPr>
      </w:pPr>
      <w:bookmarkStart w:id="124" w:name="_Toc503235771"/>
      <w:bookmarkStart w:id="125" w:name="_Toc510015704"/>
      <w:r>
        <w:rPr>
          <w:rFonts w:hint="eastAsia" w:ascii="宋体" w:hAnsi="宋体" w:eastAsia="宋体" w:cs="宋体"/>
          <w:b w:val="0"/>
          <w:sz w:val="24"/>
          <w:szCs w:val="24"/>
          <w:highlight w:val="none"/>
        </w:rPr>
        <w:t>4.2</w:t>
      </w:r>
      <w:r>
        <w:rPr>
          <w:rFonts w:hint="eastAsia" w:ascii="宋体" w:hAnsi="宋体" w:eastAsia="宋体" w:cs="宋体"/>
          <w:b w:val="0"/>
          <w:sz w:val="24"/>
          <w:szCs w:val="24"/>
          <w:highlight w:val="none"/>
        </w:rPr>
        <w:tab/>
      </w:r>
      <w:r>
        <w:rPr>
          <w:rFonts w:hint="eastAsia" w:ascii="宋体" w:hAnsi="宋体" w:eastAsia="宋体" w:cs="宋体"/>
          <w:b w:val="0"/>
          <w:sz w:val="24"/>
          <w:szCs w:val="24"/>
          <w:highlight w:val="none"/>
        </w:rPr>
        <w:t xml:space="preserve"> 投标文件的递交</w:t>
      </w:r>
      <w:bookmarkEnd w:id="124"/>
      <w:bookmarkEnd w:id="125"/>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4.2.1 投标人应在第一章“招标公告”或“投标邀请书”规定的投标截止时间前递交投标文件。</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4.2.2 投标人递交投标文件的地点：见第一章“招标公告”或“投标邀请书”。</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4.2.3 除投标人须知前附表另有规定外，投标人所递交的投标文件不予退还。投标人少于3个的，投标文件当场退还给投标人。</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4.2.4 招标人收到投标文件后，向投标人出具签收凭证。</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4.2.5 逾期送达的或未送达指定地点的投标文件，招标人将予以拒收。</w:t>
      </w:r>
    </w:p>
    <w:p>
      <w:pPr>
        <w:pStyle w:val="3"/>
        <w:spacing w:before="240" w:after="240" w:line="440" w:lineRule="atLeast"/>
        <w:rPr>
          <w:rFonts w:hint="eastAsia" w:ascii="宋体" w:hAnsi="宋体" w:eastAsia="宋体" w:cs="宋体"/>
          <w:b w:val="0"/>
          <w:sz w:val="24"/>
          <w:szCs w:val="24"/>
          <w:highlight w:val="none"/>
        </w:rPr>
      </w:pPr>
      <w:bookmarkStart w:id="126" w:name="_Toc510015705"/>
      <w:bookmarkStart w:id="127" w:name="_Toc503235772"/>
      <w:r>
        <w:rPr>
          <w:rFonts w:hint="eastAsia" w:ascii="宋体" w:hAnsi="宋体" w:eastAsia="宋体" w:cs="宋体"/>
          <w:b w:val="0"/>
          <w:sz w:val="24"/>
          <w:szCs w:val="24"/>
          <w:highlight w:val="none"/>
        </w:rPr>
        <w:t>4.3 投标文件的修改与撤回</w:t>
      </w:r>
      <w:bookmarkEnd w:id="126"/>
      <w:bookmarkEnd w:id="127"/>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4.3.1 在本章第4.2.1项规定的投标截止时间前，投标人可以修改或撤回已递交的投标文件，但应以书面形式通知招标人。</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4.3.2 投标人修改或撤回已递交投标文件的书面通知应按照本章第3.7.3项的要求签字或盖章。招标人收到书面通知后，向投标人出具签收凭证。</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4.3.3 投标人撤回投标文件的，招标人自收到投标人书面撤回通知之日起5日内退还已收取的投标保证金。</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4.3.4 修改的内容为投标文件的组成部分。修改的投标文件应按照本章第3条、第4条的规定进行编制、密封、标记和递交，并标明“修改”字样。</w:t>
      </w:r>
    </w:p>
    <w:p>
      <w:pPr>
        <w:pStyle w:val="3"/>
        <w:spacing w:before="360" w:after="240" w:line="440" w:lineRule="atLeast"/>
        <w:rPr>
          <w:rFonts w:hint="eastAsia" w:ascii="宋体" w:hAnsi="宋体" w:eastAsia="宋体" w:cs="宋体"/>
          <w:b w:val="0"/>
          <w:sz w:val="28"/>
          <w:szCs w:val="28"/>
          <w:highlight w:val="none"/>
        </w:rPr>
      </w:pPr>
      <w:bookmarkStart w:id="128" w:name="_Toc510015706"/>
      <w:bookmarkStart w:id="129" w:name="_Toc503235773"/>
      <w:r>
        <w:rPr>
          <w:rFonts w:hint="eastAsia" w:ascii="宋体" w:hAnsi="宋体" w:eastAsia="宋体" w:cs="宋体"/>
          <w:b w:val="0"/>
          <w:sz w:val="28"/>
          <w:szCs w:val="28"/>
          <w:highlight w:val="none"/>
        </w:rPr>
        <w:t>5. 开标</w:t>
      </w:r>
      <w:bookmarkEnd w:id="128"/>
      <w:bookmarkEnd w:id="129"/>
    </w:p>
    <w:p>
      <w:pPr>
        <w:pStyle w:val="3"/>
        <w:spacing w:before="240" w:after="240" w:line="440" w:lineRule="atLeast"/>
        <w:rPr>
          <w:rFonts w:hint="eastAsia" w:ascii="宋体" w:hAnsi="宋体" w:eastAsia="宋体" w:cs="宋体"/>
          <w:b w:val="0"/>
          <w:sz w:val="24"/>
          <w:szCs w:val="24"/>
          <w:highlight w:val="none"/>
        </w:rPr>
      </w:pPr>
      <w:bookmarkStart w:id="130" w:name="_Toc510015707"/>
      <w:bookmarkStart w:id="131" w:name="_Toc503235774"/>
      <w:r>
        <w:rPr>
          <w:rFonts w:hint="eastAsia" w:ascii="宋体" w:hAnsi="宋体" w:eastAsia="宋体" w:cs="宋体"/>
          <w:b w:val="0"/>
          <w:sz w:val="24"/>
          <w:szCs w:val="24"/>
          <w:highlight w:val="none"/>
        </w:rPr>
        <w:t>5.1 开标时间和地点</w:t>
      </w:r>
      <w:bookmarkEnd w:id="130"/>
      <w:bookmarkEnd w:id="131"/>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招标人在本章第4.2.1项规定的投标截止时间（开标时间）和投标人须知前附表规定的地点对收到的投标文件第一个信封（商务及技术文件）公开开标，并邀请所有投标人的法定代表人或其委托代理人准时参加。</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招标人在投标人须知前附表规定的时间和地点对投标文件第二个信封（报价文件）公开开标，并邀请所有投标人的法定代表人或其委托代理人准时参加。</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投标人若未派法定代表人或委托代理人出席开标活动，视为该投标人默认开标结果。</w:t>
      </w:r>
    </w:p>
    <w:p>
      <w:pPr>
        <w:pStyle w:val="3"/>
        <w:spacing w:before="240" w:after="240" w:line="440" w:lineRule="atLeast"/>
        <w:rPr>
          <w:rFonts w:hint="eastAsia" w:ascii="宋体" w:hAnsi="宋体" w:eastAsia="宋体" w:cs="宋体"/>
          <w:b w:val="0"/>
          <w:sz w:val="24"/>
          <w:szCs w:val="24"/>
          <w:highlight w:val="none"/>
        </w:rPr>
      </w:pPr>
      <w:bookmarkStart w:id="132" w:name="_Toc503235775"/>
      <w:bookmarkStart w:id="133" w:name="_Toc510015708"/>
      <w:r>
        <w:rPr>
          <w:rFonts w:hint="eastAsia" w:ascii="宋体" w:hAnsi="宋体" w:eastAsia="宋体" w:cs="宋体"/>
          <w:b w:val="0"/>
          <w:sz w:val="24"/>
          <w:szCs w:val="24"/>
          <w:highlight w:val="none"/>
        </w:rPr>
        <w:t>5.2 开标程序</w:t>
      </w:r>
      <w:bookmarkEnd w:id="132"/>
      <w:bookmarkEnd w:id="133"/>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5.2.1 主持人按下列程序对投标文件第一个信封（商务及技术文件）进行开标：</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（1）宣布开标纪律；</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（2）公布在投标截止时间前递交投标文件的投标人数量；</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（3）宣布开标人、唱标人、记录人等有关人员姓名；</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（4）按照投标人须知前附表规定由投标人推选的代表检查投标文件的密封情况；</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（5）按照投标人须知前附表规定的开标顺序当众开标，公布标段名称、投标人名称、投标保证金的递交情况、咨询服务期限及其他内容，并记录在案；</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（6）投标人代表、招标人代表、记录人等有关人员在开标记录上签字确认；</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（7）开标结束。</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5.2.2 在投标文件第一个信封（商务及技术文件）开标现场，投标文件第二个信封（报价文件）不予开封，由招标人密封保存。</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5.2.3 招标人将按照本章第5.1款规定的时间和地点对投标文件第二个信封（报价文件）进行开标。主持人按下列程序进行开标：</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（1）宣布开标纪律；</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（2）当众拆开投标文件第一个信封（商务及技术文件）评审结果的密封袋，宣布通过投标文件第一个信封（商务及技术文件）评审的投标人名单；</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（3）宣布开标人、唱标人、记录人等有关人员姓名；</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（4）按照投标人须知前附表规定由投标人推选的代表检查投标文件的密封情况；</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（5）按照投标人须知前附表规定的开标顺序当众开标，开标人只拆封通过投标文件第一个信封（商务及技术文件）评审的投标文件第二个信封（报价文件），公布标段名称、投标人名称、投标报价</w:t>
      </w:r>
      <w:r>
        <w:rPr>
          <w:rFonts w:hint="eastAsia" w:ascii="宋体" w:hAnsi="宋体" w:eastAsia="宋体" w:cs="宋体"/>
          <w:sz w:val="24"/>
          <w:highlight w:val="none"/>
          <w:vertAlign w:val="superscript"/>
        </w:rPr>
        <w:footnoteReference w:id="8"/>
      </w:r>
      <w:r>
        <w:rPr>
          <w:rFonts w:hint="eastAsia" w:ascii="宋体" w:hAnsi="宋体" w:eastAsia="宋体" w:cs="宋体"/>
          <w:sz w:val="24"/>
          <w:highlight w:val="none"/>
        </w:rPr>
        <w:t>及其他内容，并记录在案；</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（6）计算并宣布评标基准价；</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 xml:space="preserve">（7）将未通过投标文件第一个信封（商务及技术文件）评审的投标文件第二个信封（报价文件）退还给投标人；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（8）投标人代表、招标人代表、记录人等有关人员在开标记录上签字确认；</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（9）开标结束。</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5.2.4 在投标文件第二个信封（报价文件）开标现场，招标人将按第三章“评标办法”规定的原则计算并宣布评标基准价。若招标人发现投标文件出现以下任一情况，其投标报价将不再参加评标基准价的计算：</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（1）未在投标函上填写投标总价；</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（2）投标报价超出招标人公布的最高投标限价（如有）；</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（3）投标报价的大写金额无法确定具体数值；</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（4）投标函上填写的标段号与投标文件封套上标记的标段号不一致。</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如果投标人认为某一标段的评标基准价计算有误，有权在开标现场提出，经招标人当场核实确认之后，可重新宣布评标基准价。开标现场宣布的评标基准价除计算有误经评标委员会修正外，在整个评标期间保持不变，不随任何因素发生变化。</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5.2.5 在投标文件第一个信封（商务及技术文件）或第二个信封（报价文件）开标过程中，若招标人宣读的内容与投标文件不符，投标人有权在开标现场提出疑问，经招标人当场核查确认之后，可重新宣读其投标文件。若投标人现场未提出疑问，则认为投标人已确认招标人宣读的内容。</w:t>
      </w:r>
    </w:p>
    <w:p>
      <w:pPr>
        <w:pStyle w:val="3"/>
        <w:spacing w:before="240" w:after="240" w:line="440" w:lineRule="atLeast"/>
        <w:rPr>
          <w:rFonts w:hint="eastAsia" w:ascii="宋体" w:hAnsi="宋体" w:eastAsia="宋体" w:cs="宋体"/>
          <w:b w:val="0"/>
          <w:sz w:val="24"/>
          <w:szCs w:val="24"/>
          <w:highlight w:val="none"/>
        </w:rPr>
      </w:pPr>
      <w:bookmarkStart w:id="134" w:name="_Toc503235776"/>
      <w:bookmarkStart w:id="135" w:name="_Toc510015709"/>
      <w:r>
        <w:rPr>
          <w:rFonts w:hint="eastAsia" w:ascii="宋体" w:hAnsi="宋体" w:eastAsia="宋体" w:cs="宋体"/>
          <w:b w:val="0"/>
          <w:sz w:val="24"/>
          <w:szCs w:val="24"/>
          <w:highlight w:val="none"/>
        </w:rPr>
        <w:t>5.3</w:t>
      </w:r>
      <w:r>
        <w:rPr>
          <w:rFonts w:hint="eastAsia" w:ascii="宋体" w:hAnsi="宋体" w:eastAsia="宋体" w:cs="宋体"/>
          <w:b w:val="0"/>
          <w:sz w:val="24"/>
          <w:szCs w:val="24"/>
          <w:highlight w:val="none"/>
        </w:rPr>
        <w:tab/>
      </w:r>
      <w:r>
        <w:rPr>
          <w:rFonts w:hint="eastAsia" w:ascii="宋体" w:hAnsi="宋体" w:eastAsia="宋体" w:cs="宋体"/>
          <w:b w:val="0"/>
          <w:sz w:val="24"/>
          <w:szCs w:val="24"/>
          <w:highlight w:val="none"/>
        </w:rPr>
        <w:t xml:space="preserve"> 开标异议</w:t>
      </w:r>
      <w:bookmarkEnd w:id="134"/>
      <w:bookmarkEnd w:id="135"/>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投标人对开标有异议的，应在开标现场提出，招标人当场作出答复，并制作记录，有异议的投标人代表、招标人代表、记录人等有关人员在记录上签字确认。</w:t>
      </w:r>
    </w:p>
    <w:p>
      <w:pPr>
        <w:pStyle w:val="3"/>
        <w:spacing w:before="360" w:after="240" w:line="440" w:lineRule="atLeast"/>
        <w:rPr>
          <w:rFonts w:hint="eastAsia" w:ascii="宋体" w:hAnsi="宋体" w:eastAsia="宋体" w:cs="宋体"/>
          <w:b w:val="0"/>
          <w:sz w:val="28"/>
          <w:szCs w:val="28"/>
          <w:highlight w:val="none"/>
        </w:rPr>
      </w:pPr>
      <w:bookmarkStart w:id="136" w:name="_Toc503235777"/>
      <w:bookmarkStart w:id="137" w:name="_Toc510015710"/>
      <w:r>
        <w:rPr>
          <w:rFonts w:hint="eastAsia" w:ascii="宋体" w:hAnsi="宋体" w:eastAsia="宋体" w:cs="宋体"/>
          <w:b w:val="0"/>
          <w:sz w:val="28"/>
          <w:szCs w:val="28"/>
          <w:highlight w:val="none"/>
        </w:rPr>
        <w:t>6. 评标</w:t>
      </w:r>
      <w:bookmarkEnd w:id="136"/>
      <w:bookmarkEnd w:id="137"/>
    </w:p>
    <w:p>
      <w:pPr>
        <w:pStyle w:val="3"/>
        <w:spacing w:before="240" w:after="240" w:line="440" w:lineRule="atLeast"/>
        <w:rPr>
          <w:rFonts w:hint="eastAsia" w:ascii="宋体" w:hAnsi="宋体" w:eastAsia="宋体" w:cs="宋体"/>
          <w:b w:val="0"/>
          <w:sz w:val="24"/>
          <w:szCs w:val="24"/>
          <w:highlight w:val="none"/>
        </w:rPr>
      </w:pPr>
      <w:bookmarkStart w:id="138" w:name="_Toc510015711"/>
      <w:bookmarkStart w:id="139" w:name="_Toc503235778"/>
      <w:r>
        <w:rPr>
          <w:rFonts w:hint="eastAsia" w:ascii="宋体" w:hAnsi="宋体" w:eastAsia="宋体" w:cs="宋体"/>
          <w:b w:val="0"/>
          <w:sz w:val="24"/>
          <w:szCs w:val="24"/>
          <w:highlight w:val="none"/>
        </w:rPr>
        <w:t>6.1</w:t>
      </w:r>
      <w:r>
        <w:rPr>
          <w:rFonts w:hint="eastAsia" w:ascii="宋体" w:hAnsi="宋体" w:eastAsia="宋体" w:cs="宋体"/>
          <w:b w:val="0"/>
          <w:sz w:val="24"/>
          <w:szCs w:val="24"/>
          <w:highlight w:val="none"/>
        </w:rPr>
        <w:tab/>
      </w:r>
      <w:r>
        <w:rPr>
          <w:rFonts w:hint="eastAsia" w:ascii="宋体" w:hAnsi="宋体" w:eastAsia="宋体" w:cs="宋体"/>
          <w:b w:val="0"/>
          <w:sz w:val="24"/>
          <w:szCs w:val="24"/>
          <w:highlight w:val="none"/>
        </w:rPr>
        <w:t xml:space="preserve"> 评标委员会</w:t>
      </w:r>
      <w:bookmarkEnd w:id="138"/>
      <w:bookmarkEnd w:id="139"/>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6.1.2 评标委员会成员有下列情形之一的，应主动提出回避：</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（1）为负责招标项目监督管理的交通运输主管部门的工作人员；</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（2）与投标人法定代表人或其委托代理人有近亲属关系；</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（3）为投标人的工作人员或退休人员；</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（4）与投标人有其他利害关系，可能影响评标活动公正性；</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（5）在与招标投标有关的活动中有过违法违规行为、曾受过行政处罚或刑事处罚。</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6.1.3 评标过程中，评标委员会成员有回避事由、擅离职守或因健康等原因不能继续评标的，招标人有权更换。被更换的评标委员会成员作出的评审结论无效，由更换后的评标委员会成员重新进行评审。</w:t>
      </w:r>
    </w:p>
    <w:p>
      <w:pPr>
        <w:pStyle w:val="3"/>
        <w:spacing w:before="240" w:after="240" w:line="440" w:lineRule="atLeast"/>
        <w:rPr>
          <w:rFonts w:hint="eastAsia" w:ascii="宋体" w:hAnsi="宋体" w:eastAsia="宋体" w:cs="宋体"/>
          <w:b w:val="0"/>
          <w:sz w:val="24"/>
          <w:szCs w:val="24"/>
          <w:highlight w:val="none"/>
        </w:rPr>
      </w:pPr>
      <w:bookmarkStart w:id="140" w:name="_Toc503235779"/>
      <w:bookmarkStart w:id="141" w:name="_Toc510015712"/>
      <w:r>
        <w:rPr>
          <w:rFonts w:hint="eastAsia" w:ascii="宋体" w:hAnsi="宋体" w:eastAsia="宋体" w:cs="宋体"/>
          <w:b w:val="0"/>
          <w:sz w:val="24"/>
          <w:szCs w:val="24"/>
          <w:highlight w:val="none"/>
        </w:rPr>
        <w:t>6.2 评标原则</w:t>
      </w:r>
      <w:bookmarkEnd w:id="140"/>
      <w:bookmarkEnd w:id="141"/>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评标活动遵循公平、公正、科学和择优的原则。</w:t>
      </w:r>
    </w:p>
    <w:p>
      <w:pPr>
        <w:pStyle w:val="3"/>
        <w:spacing w:before="240" w:after="240" w:line="440" w:lineRule="atLeast"/>
        <w:rPr>
          <w:rFonts w:hint="eastAsia" w:ascii="宋体" w:hAnsi="宋体" w:eastAsia="宋体" w:cs="宋体"/>
          <w:b w:val="0"/>
          <w:sz w:val="24"/>
          <w:szCs w:val="24"/>
          <w:highlight w:val="none"/>
        </w:rPr>
      </w:pPr>
      <w:bookmarkStart w:id="142" w:name="_Toc503235780"/>
      <w:bookmarkStart w:id="143" w:name="_Toc510015713"/>
      <w:r>
        <w:rPr>
          <w:rFonts w:hint="eastAsia" w:ascii="宋体" w:hAnsi="宋体" w:eastAsia="宋体" w:cs="宋体"/>
          <w:b w:val="0"/>
          <w:sz w:val="24"/>
          <w:szCs w:val="24"/>
          <w:highlight w:val="none"/>
        </w:rPr>
        <w:t>6.3 评标</w:t>
      </w:r>
      <w:bookmarkEnd w:id="142"/>
      <w:bookmarkEnd w:id="143"/>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6.3.1 评标委员会按照第三章“评标办法”规定的方法、评审因素、标准和程序对投标文件进行评审。第三章“评标办法”没有规定的方法、评审因素和标准，不作为评标依据。</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6.3.2 评标完成后，评标委员会应向招标人提交书面评标报告和中标候选人名单。评标委员会推荐中标</w:t>
      </w:r>
      <w:bookmarkStart w:id="144" w:name="_Toc152045558"/>
      <w:bookmarkStart w:id="145" w:name="_Toc144974526"/>
      <w:bookmarkStart w:id="146" w:name="_Toc12259"/>
      <w:bookmarkStart w:id="147" w:name="_Toc247513982"/>
      <w:bookmarkStart w:id="148" w:name="_Toc352691502"/>
      <w:bookmarkStart w:id="149" w:name="_Toc247527583"/>
      <w:bookmarkStart w:id="150" w:name="_Toc369531546"/>
      <w:bookmarkStart w:id="151" w:name="_Toc300834979"/>
      <w:bookmarkStart w:id="152" w:name="_Toc361508615"/>
      <w:bookmarkStart w:id="153" w:name="_Toc384308240"/>
      <w:bookmarkStart w:id="154" w:name="_Toc152042334"/>
      <w:r>
        <w:rPr>
          <w:rFonts w:hint="eastAsia" w:ascii="宋体" w:hAnsi="宋体" w:eastAsia="宋体" w:cs="宋体"/>
          <w:sz w:val="24"/>
          <w:highlight w:val="none"/>
        </w:rPr>
        <w:t>候选人的人数见投标人须知前附</w:t>
      </w:r>
      <w:bookmarkEnd w:id="144"/>
      <w:bookmarkEnd w:id="145"/>
      <w:bookmarkEnd w:id="146"/>
      <w:bookmarkEnd w:id="147"/>
      <w:bookmarkEnd w:id="148"/>
      <w:bookmarkEnd w:id="149"/>
      <w:bookmarkEnd w:id="150"/>
      <w:bookmarkEnd w:id="151"/>
      <w:bookmarkEnd w:id="152"/>
      <w:bookmarkEnd w:id="153"/>
      <w:bookmarkEnd w:id="154"/>
      <w:r>
        <w:rPr>
          <w:rFonts w:hint="eastAsia" w:ascii="宋体" w:hAnsi="宋体" w:eastAsia="宋体" w:cs="宋体"/>
          <w:sz w:val="24"/>
          <w:highlight w:val="none"/>
        </w:rPr>
        <w:t>表。</w:t>
      </w:r>
    </w:p>
    <w:p>
      <w:pPr>
        <w:pStyle w:val="3"/>
        <w:spacing w:before="360" w:after="240" w:line="440" w:lineRule="atLeast"/>
        <w:rPr>
          <w:rFonts w:hint="eastAsia" w:ascii="宋体" w:hAnsi="宋体" w:eastAsia="宋体" w:cs="宋体"/>
          <w:b w:val="0"/>
          <w:sz w:val="28"/>
          <w:szCs w:val="28"/>
          <w:highlight w:val="none"/>
        </w:rPr>
      </w:pPr>
      <w:bookmarkStart w:id="155" w:name="_Toc510015714"/>
      <w:bookmarkStart w:id="156" w:name="_Toc503235781"/>
      <w:r>
        <w:rPr>
          <w:rFonts w:hint="eastAsia" w:ascii="宋体" w:hAnsi="宋体" w:eastAsia="宋体" w:cs="宋体"/>
          <w:b w:val="0"/>
          <w:sz w:val="28"/>
          <w:szCs w:val="28"/>
          <w:highlight w:val="none"/>
        </w:rPr>
        <w:t>7. 合同授予</w:t>
      </w:r>
      <w:bookmarkEnd w:id="155"/>
      <w:bookmarkEnd w:id="156"/>
    </w:p>
    <w:p>
      <w:pPr>
        <w:pStyle w:val="3"/>
        <w:spacing w:before="240" w:after="240" w:line="440" w:lineRule="atLeast"/>
        <w:rPr>
          <w:rFonts w:hint="eastAsia" w:ascii="宋体" w:hAnsi="宋体" w:eastAsia="宋体" w:cs="宋体"/>
          <w:b w:val="0"/>
          <w:sz w:val="24"/>
          <w:szCs w:val="24"/>
          <w:highlight w:val="none"/>
        </w:rPr>
      </w:pPr>
      <w:bookmarkStart w:id="157" w:name="_Toc510015715"/>
      <w:bookmarkStart w:id="158" w:name="_Toc503235782"/>
      <w:r>
        <w:rPr>
          <w:rFonts w:hint="eastAsia" w:ascii="宋体" w:hAnsi="宋体" w:eastAsia="宋体" w:cs="宋体"/>
          <w:b w:val="0"/>
          <w:sz w:val="24"/>
          <w:szCs w:val="24"/>
          <w:highlight w:val="none"/>
        </w:rPr>
        <w:t>7.1 中标候选人公示</w:t>
      </w:r>
      <w:bookmarkEnd w:id="157"/>
      <w:bookmarkEnd w:id="158"/>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招标人在收到评标报告之日起3日内，按照投标人须知前附表规定的公示媒介和期限公示中标候选人，公示期不得少于3日，公示内容包括：</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（1）中标候选人排序、名称、投标报价，对咨询质量要求、安全目标和咨询服务期限的响应情况；</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（2）中标候选人在投标文件中承诺的项目负责人姓名、个人业绩、相关证书名称和编号；</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（3）中标候选人在投标文件中填报的项目业绩；</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（4）被否决投标的投标人名称、否决依据和原因；</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（5）提出异议的渠道和方式；</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（6）投标人须知前附表规定公示的其他内容。</w:t>
      </w:r>
    </w:p>
    <w:p>
      <w:pPr>
        <w:pStyle w:val="3"/>
        <w:spacing w:before="240" w:after="240" w:line="440" w:lineRule="atLeast"/>
        <w:rPr>
          <w:rFonts w:hint="eastAsia" w:ascii="宋体" w:hAnsi="宋体" w:eastAsia="宋体" w:cs="宋体"/>
          <w:b w:val="0"/>
          <w:sz w:val="24"/>
          <w:szCs w:val="24"/>
          <w:highlight w:val="none"/>
        </w:rPr>
      </w:pPr>
      <w:bookmarkStart w:id="159" w:name="_Toc503235783"/>
      <w:bookmarkStart w:id="160" w:name="_Toc510015716"/>
      <w:r>
        <w:rPr>
          <w:rFonts w:hint="eastAsia" w:ascii="宋体" w:hAnsi="宋体" w:eastAsia="宋体" w:cs="宋体"/>
          <w:b w:val="0"/>
          <w:sz w:val="24"/>
          <w:szCs w:val="24"/>
          <w:highlight w:val="none"/>
        </w:rPr>
        <w:t>7.2 评标结果异议</w:t>
      </w:r>
      <w:bookmarkEnd w:id="159"/>
      <w:bookmarkEnd w:id="160"/>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投标人或其他利害关系人对依法必须进行招标的项目的评标结果有异议的，应在中标候选人公示期间提出。招标人将在收到异议之日起3日内作出答复；作出答复前，将暂停招标投标活动。</w:t>
      </w:r>
    </w:p>
    <w:p>
      <w:pPr>
        <w:pStyle w:val="3"/>
        <w:spacing w:before="240" w:after="240" w:line="440" w:lineRule="atLeast"/>
        <w:rPr>
          <w:rFonts w:hint="eastAsia" w:ascii="宋体" w:hAnsi="宋体" w:eastAsia="宋体" w:cs="宋体"/>
          <w:b w:val="0"/>
          <w:sz w:val="24"/>
          <w:szCs w:val="24"/>
          <w:highlight w:val="none"/>
        </w:rPr>
      </w:pPr>
      <w:bookmarkStart w:id="161" w:name="_Toc503235784"/>
      <w:bookmarkStart w:id="162" w:name="_Toc510015717"/>
      <w:r>
        <w:rPr>
          <w:rFonts w:hint="eastAsia" w:ascii="宋体" w:hAnsi="宋体" w:eastAsia="宋体" w:cs="宋体"/>
          <w:b w:val="0"/>
          <w:sz w:val="24"/>
          <w:szCs w:val="24"/>
          <w:highlight w:val="none"/>
        </w:rPr>
        <w:t>7.3 中标候选人履约能力审查</w:t>
      </w:r>
      <w:bookmarkEnd w:id="161"/>
      <w:bookmarkEnd w:id="162"/>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中标候选人的经营、财务状况发生较大变化或存在违法行为，招标人认为可能影响其履约能力的，将在发出中标通知书前提请原评标委员会按照招标文件规定的标准和方法进行审查确认。</w:t>
      </w:r>
    </w:p>
    <w:p>
      <w:pPr>
        <w:pStyle w:val="3"/>
        <w:spacing w:before="240" w:after="240" w:line="440" w:lineRule="atLeast"/>
        <w:rPr>
          <w:rFonts w:hint="eastAsia" w:ascii="宋体" w:hAnsi="宋体" w:eastAsia="宋体" w:cs="宋体"/>
          <w:b w:val="0"/>
          <w:sz w:val="24"/>
          <w:szCs w:val="24"/>
          <w:highlight w:val="none"/>
        </w:rPr>
      </w:pPr>
      <w:bookmarkStart w:id="163" w:name="_Toc510015718"/>
      <w:bookmarkStart w:id="164" w:name="_Toc503235785"/>
      <w:r>
        <w:rPr>
          <w:rFonts w:hint="eastAsia" w:ascii="宋体" w:hAnsi="宋体" w:eastAsia="宋体" w:cs="宋体"/>
          <w:b w:val="0"/>
          <w:sz w:val="24"/>
          <w:szCs w:val="24"/>
          <w:highlight w:val="none"/>
        </w:rPr>
        <w:t>7.4 定标</w:t>
      </w:r>
      <w:bookmarkEnd w:id="163"/>
      <w:bookmarkEnd w:id="164"/>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按照投标人须知前附表的规定，招标人或招标人授权的评标委员会依法确定中标人。</w:t>
      </w:r>
    </w:p>
    <w:p>
      <w:pPr>
        <w:pStyle w:val="3"/>
        <w:spacing w:before="240" w:after="240" w:line="440" w:lineRule="atLeast"/>
        <w:rPr>
          <w:rFonts w:hint="eastAsia" w:ascii="宋体" w:hAnsi="宋体" w:eastAsia="宋体" w:cs="宋体"/>
          <w:b w:val="0"/>
          <w:sz w:val="24"/>
          <w:szCs w:val="24"/>
          <w:highlight w:val="none"/>
        </w:rPr>
      </w:pPr>
      <w:bookmarkStart w:id="165" w:name="_Toc503235786"/>
      <w:bookmarkStart w:id="166" w:name="_Toc510015719"/>
      <w:r>
        <w:rPr>
          <w:rFonts w:hint="eastAsia" w:ascii="宋体" w:hAnsi="宋体" w:eastAsia="宋体" w:cs="宋体"/>
          <w:b w:val="0"/>
          <w:sz w:val="24"/>
          <w:szCs w:val="24"/>
          <w:highlight w:val="none"/>
        </w:rPr>
        <w:t>7.5 中标通知</w:t>
      </w:r>
      <w:bookmarkEnd w:id="165"/>
      <w:bookmarkEnd w:id="166"/>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在本章第3.3款规定的投标有效期内，招标人以投标人须知前附表规定的形式向中标人发出中标通知书，同时将中标结果通知未中标的投标人。</w:t>
      </w:r>
    </w:p>
    <w:p>
      <w:pPr>
        <w:pStyle w:val="3"/>
        <w:spacing w:before="240" w:after="240" w:line="440" w:lineRule="atLeast"/>
        <w:rPr>
          <w:rFonts w:hint="eastAsia" w:ascii="宋体" w:hAnsi="宋体" w:eastAsia="宋体" w:cs="宋体"/>
          <w:b w:val="0"/>
          <w:sz w:val="24"/>
          <w:szCs w:val="24"/>
          <w:highlight w:val="none"/>
        </w:rPr>
      </w:pPr>
      <w:bookmarkStart w:id="167" w:name="_Toc503235787"/>
      <w:bookmarkStart w:id="168" w:name="_Toc510015720"/>
      <w:bookmarkStart w:id="169" w:name="_Toc501257108"/>
      <w:r>
        <w:rPr>
          <w:rFonts w:hint="eastAsia" w:ascii="宋体" w:hAnsi="宋体" w:eastAsia="宋体" w:cs="宋体"/>
          <w:b w:val="0"/>
          <w:sz w:val="24"/>
          <w:szCs w:val="24"/>
          <w:highlight w:val="none"/>
        </w:rPr>
        <w:t>7.6 中标结果公告</w:t>
      </w:r>
      <w:bookmarkEnd w:id="167"/>
      <w:bookmarkEnd w:id="168"/>
      <w:bookmarkEnd w:id="169"/>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招标人在确定中标人之日起3日内，按照投标人须知前附表规定的公告媒介和期限公告中标结果，公告期不得少于3日。公告内容包括中标人名称、中标价。</w:t>
      </w:r>
    </w:p>
    <w:p>
      <w:pPr>
        <w:pStyle w:val="3"/>
        <w:spacing w:before="240" w:after="240" w:line="440" w:lineRule="atLeast"/>
        <w:rPr>
          <w:rFonts w:hint="eastAsia" w:ascii="宋体" w:hAnsi="宋体" w:eastAsia="宋体" w:cs="宋体"/>
          <w:b w:val="0"/>
          <w:sz w:val="24"/>
          <w:szCs w:val="24"/>
          <w:highlight w:val="none"/>
        </w:rPr>
      </w:pPr>
      <w:bookmarkStart w:id="170" w:name="_Toc510015721"/>
      <w:bookmarkStart w:id="171" w:name="_Toc503235789"/>
      <w:r>
        <w:rPr>
          <w:rFonts w:hint="eastAsia" w:ascii="宋体" w:hAnsi="宋体" w:eastAsia="宋体" w:cs="宋体"/>
          <w:b w:val="0"/>
          <w:sz w:val="24"/>
          <w:szCs w:val="24"/>
          <w:highlight w:val="none"/>
        </w:rPr>
        <w:t>7.7 履约保证金</w:t>
      </w:r>
      <w:bookmarkEnd w:id="170"/>
      <w:bookmarkEnd w:id="171"/>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7.7.1 在签订合同前，中标人应按投标人须知前附表规定的形式、金额和招标文件第四章“合同条款及格式”规定的或事先经过招标人书面认可的履约保证金格式向招标人提交履约保证金。除投标人须知前附表另有规定外，履约保证金为签约合同价的10%。联合体中标的，其履约保证金以联合体各方或联合体中牵头人的名义提交。</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采用银行保函时，应由符合投标人须知前附表规定级别的银行开具，所需的费用由中标人承担，中标人应保证银行保函有效。</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7.7.2 中标人不能按本章第7.7.1项要求提交履约保证金的，视为放弃中标，其投标保证金不予退还，给招标人造成的损失超过投标保证金数额的，中标人还应对超过部分予以赔偿。</w:t>
      </w:r>
    </w:p>
    <w:p>
      <w:pPr>
        <w:pStyle w:val="3"/>
        <w:spacing w:before="240" w:after="240" w:line="440" w:lineRule="atLeast"/>
        <w:rPr>
          <w:rFonts w:hint="eastAsia" w:ascii="宋体" w:hAnsi="宋体" w:eastAsia="宋体" w:cs="宋体"/>
          <w:b w:val="0"/>
          <w:sz w:val="24"/>
          <w:szCs w:val="24"/>
          <w:highlight w:val="none"/>
        </w:rPr>
      </w:pPr>
      <w:bookmarkStart w:id="172" w:name="_Toc503235790"/>
      <w:bookmarkStart w:id="173" w:name="_Toc510015722"/>
      <w:r>
        <w:rPr>
          <w:rFonts w:hint="eastAsia" w:ascii="宋体" w:hAnsi="宋体" w:eastAsia="宋体" w:cs="宋体"/>
          <w:b w:val="0"/>
          <w:sz w:val="24"/>
          <w:szCs w:val="24"/>
          <w:highlight w:val="none"/>
        </w:rPr>
        <w:t>7.8 签订合同</w:t>
      </w:r>
      <w:bookmarkEnd w:id="172"/>
      <w:bookmarkEnd w:id="173"/>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 xml:space="preserve">7.8.1 招标人和中标人应在中标通知书发出之日起30日内，根据招标文件和中标人的投标文件订立书面合同。中标人无正当理由拒签合同，在签订合同时向招标人提出附加条件，或不按照招标文件要求提交履约保证金的，招标人取消其中标资格，其投标保证金不予退还；给招标人造成的损失超过投标保证金数额的，中标人还应对超过部分予以赔偿。 </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7.8.2 发出中标通知书后，招标人无正当理由拒签合同，或在签订合同时向中标人提出附加条件的，招标人向中标人退还投标保证金；给中标人造成损失的，还应赔偿损失。</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7.8.3 签约合同价的确定原则如下：</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（1）按照评标办法规定对投标报价进行修正后，若修正后的最终投标报价小于开标时的投标函大写金额报价，则签订合同时以修正后的最终投标报价为准；</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（2）按照评标办法规定对投标报价进行修正后，若修正后的最终投标报价大于开标时的投标函大写金额报价，则签订合同时以开标时的投标函大写金额报价为准，同时按比例修正相应子目的单价或合价。</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7.8.4 联合体中标的，联合体各方应共同与招标人签订合同，就中标项目向招标人承担连带责任。</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7.8.5 招标人和中标人在签订合同协议书的同时，须按照本招标文件规定的格式和要求签订廉政合同，明确双方在廉政建设方面的权利和义务以及应承担的违约责任。</w:t>
      </w:r>
    </w:p>
    <w:p>
      <w:pPr>
        <w:pStyle w:val="3"/>
        <w:spacing w:before="360" w:after="240" w:line="440" w:lineRule="atLeast"/>
        <w:rPr>
          <w:rFonts w:hint="eastAsia" w:ascii="宋体" w:hAnsi="宋体" w:eastAsia="宋体" w:cs="宋体"/>
          <w:b w:val="0"/>
          <w:sz w:val="28"/>
          <w:szCs w:val="28"/>
          <w:highlight w:val="none"/>
        </w:rPr>
      </w:pPr>
      <w:bookmarkStart w:id="174" w:name="_Toc510015723"/>
      <w:bookmarkStart w:id="175" w:name="_Toc503235791"/>
      <w:r>
        <w:rPr>
          <w:rFonts w:hint="eastAsia" w:ascii="宋体" w:hAnsi="宋体" w:eastAsia="宋体" w:cs="宋体"/>
          <w:b w:val="0"/>
          <w:sz w:val="28"/>
          <w:szCs w:val="28"/>
          <w:highlight w:val="none"/>
        </w:rPr>
        <w:t>8. 纪律和监督</w:t>
      </w:r>
      <w:bookmarkEnd w:id="174"/>
      <w:bookmarkEnd w:id="175"/>
    </w:p>
    <w:p>
      <w:pPr>
        <w:pStyle w:val="3"/>
        <w:spacing w:before="240" w:after="240" w:line="440" w:lineRule="atLeast"/>
        <w:rPr>
          <w:rFonts w:hint="eastAsia" w:ascii="宋体" w:hAnsi="宋体" w:eastAsia="宋体" w:cs="宋体"/>
          <w:b w:val="0"/>
          <w:sz w:val="24"/>
          <w:szCs w:val="24"/>
          <w:highlight w:val="none"/>
        </w:rPr>
      </w:pPr>
      <w:bookmarkStart w:id="176" w:name="_Toc503235792"/>
      <w:bookmarkStart w:id="177" w:name="_Toc510015724"/>
      <w:r>
        <w:rPr>
          <w:rFonts w:hint="eastAsia" w:ascii="宋体" w:hAnsi="宋体" w:eastAsia="宋体" w:cs="宋体"/>
          <w:b w:val="0"/>
          <w:sz w:val="24"/>
          <w:szCs w:val="24"/>
          <w:highlight w:val="none"/>
        </w:rPr>
        <w:t>8.1 对招标人的纪律要求</w:t>
      </w:r>
      <w:bookmarkEnd w:id="176"/>
      <w:bookmarkEnd w:id="177"/>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招标人不得泄露招标投标活动中应保密的情况和资料，不得与投标人串通损害国家利益、社会公共利益或他人合法权益。</w:t>
      </w:r>
    </w:p>
    <w:p>
      <w:pPr>
        <w:pStyle w:val="3"/>
        <w:spacing w:before="240" w:after="240" w:line="440" w:lineRule="atLeast"/>
        <w:rPr>
          <w:rFonts w:hint="eastAsia" w:ascii="宋体" w:hAnsi="宋体" w:eastAsia="宋体" w:cs="宋体"/>
          <w:b w:val="0"/>
          <w:sz w:val="24"/>
          <w:szCs w:val="24"/>
          <w:highlight w:val="none"/>
        </w:rPr>
      </w:pPr>
      <w:bookmarkStart w:id="178" w:name="_Toc510015725"/>
      <w:bookmarkStart w:id="179" w:name="_Toc503235793"/>
      <w:r>
        <w:rPr>
          <w:rFonts w:hint="eastAsia" w:ascii="宋体" w:hAnsi="宋体" w:eastAsia="宋体" w:cs="宋体"/>
          <w:b w:val="0"/>
          <w:sz w:val="24"/>
          <w:szCs w:val="24"/>
          <w:highlight w:val="none"/>
        </w:rPr>
        <w:t>8.2 对投标人的纪律要求</w:t>
      </w:r>
      <w:bookmarkEnd w:id="178"/>
      <w:bookmarkEnd w:id="179"/>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投标人不得相互串通投标或与招标人串通投标，不得向招标人或评标委员会成员行贿谋取中标，不得以他人名义投标或以其他方式弄虚作假骗取中标；投标人不得以任何方式干扰、影响评标工作。</w:t>
      </w:r>
    </w:p>
    <w:p>
      <w:pPr>
        <w:pStyle w:val="3"/>
        <w:spacing w:before="240" w:after="240" w:line="440" w:lineRule="atLeast"/>
        <w:rPr>
          <w:rFonts w:hint="eastAsia" w:ascii="宋体" w:hAnsi="宋体" w:eastAsia="宋体" w:cs="宋体"/>
          <w:b w:val="0"/>
          <w:sz w:val="24"/>
          <w:szCs w:val="24"/>
          <w:highlight w:val="none"/>
        </w:rPr>
      </w:pPr>
      <w:bookmarkStart w:id="180" w:name="_Toc510015726"/>
      <w:bookmarkStart w:id="181" w:name="_Toc503235794"/>
      <w:r>
        <w:rPr>
          <w:rFonts w:hint="eastAsia" w:ascii="宋体" w:hAnsi="宋体" w:eastAsia="宋体" w:cs="宋体"/>
          <w:b w:val="0"/>
          <w:sz w:val="24"/>
          <w:szCs w:val="24"/>
          <w:highlight w:val="none"/>
        </w:rPr>
        <w:t>8.3 对评标委员会成员的纪律要求</w:t>
      </w:r>
      <w:bookmarkEnd w:id="180"/>
      <w:bookmarkEnd w:id="181"/>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评标委员会成员不得收受他人的财物或其他好处，不得向他人透露对投标文件的评审和比较、中标候选人的推荐情况以及评标有关的其他情况。在评标活动中，评标委员会成员应客观、公正地履行职责，遵守职业道德，不得擅离职守，影响评标程序正常进行，不得使用第三章“评标办法”没有规定的评审因素和标准进行评标。</w:t>
      </w:r>
    </w:p>
    <w:p>
      <w:pPr>
        <w:pStyle w:val="3"/>
        <w:spacing w:before="240" w:after="240" w:line="440" w:lineRule="atLeast"/>
        <w:rPr>
          <w:rFonts w:hint="eastAsia" w:ascii="宋体" w:hAnsi="宋体" w:eastAsia="宋体" w:cs="宋体"/>
          <w:b w:val="0"/>
          <w:sz w:val="24"/>
          <w:szCs w:val="24"/>
          <w:highlight w:val="none"/>
        </w:rPr>
      </w:pPr>
      <w:bookmarkStart w:id="182" w:name="_Toc510015727"/>
      <w:bookmarkStart w:id="183" w:name="_Toc503235795"/>
      <w:r>
        <w:rPr>
          <w:rFonts w:hint="eastAsia" w:ascii="宋体" w:hAnsi="宋体" w:eastAsia="宋体" w:cs="宋体"/>
          <w:b w:val="0"/>
          <w:sz w:val="24"/>
          <w:szCs w:val="24"/>
          <w:highlight w:val="none"/>
        </w:rPr>
        <w:t>8.4 对与评标活动有关的工作人员的纪律要求</w:t>
      </w:r>
      <w:bookmarkEnd w:id="182"/>
      <w:bookmarkEnd w:id="183"/>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与评标活动有关的工作人员不得收受他人的财物或其他好处，不得向他人透露对投标文件的评审和比较、中标候选人的推荐情况以及评标有关的其他情况。在评标活动中，与评标活动有关的工作人员不得擅离职守，影响评标程序正常进行。</w:t>
      </w:r>
    </w:p>
    <w:p>
      <w:pPr>
        <w:pStyle w:val="3"/>
        <w:spacing w:before="240" w:after="240" w:line="440" w:lineRule="atLeast"/>
        <w:rPr>
          <w:rFonts w:hint="eastAsia" w:ascii="宋体" w:hAnsi="宋体" w:eastAsia="宋体" w:cs="宋体"/>
          <w:b w:val="0"/>
          <w:sz w:val="24"/>
          <w:szCs w:val="24"/>
          <w:highlight w:val="none"/>
        </w:rPr>
      </w:pPr>
      <w:bookmarkStart w:id="184" w:name="_Toc510015728"/>
      <w:bookmarkStart w:id="185" w:name="_Toc503235796"/>
      <w:r>
        <w:rPr>
          <w:rFonts w:hint="eastAsia" w:ascii="宋体" w:hAnsi="宋体" w:eastAsia="宋体" w:cs="宋体"/>
          <w:b w:val="0"/>
          <w:sz w:val="24"/>
          <w:szCs w:val="24"/>
          <w:highlight w:val="none"/>
        </w:rPr>
        <w:t>8.5 投诉</w:t>
      </w:r>
      <w:bookmarkEnd w:id="184"/>
      <w:bookmarkEnd w:id="185"/>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8.5.1 投标人或其他利害关系人认为招标投标活动不符合法律、行政法规规定的，可以自知道或应当知道之日起10日内向有关行政监督部门投诉。投诉应有明确的请求和必要的证明材料。</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监督部门的联系方式见投标人须知前附表。</w:t>
      </w: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8.5.2 投标人或其他利害关系人对招标文件、开标和评标结果提出投诉的，应按照本章第2.4款、第5.3款和第7.2款的规定先向招标人提出异议。异议答复期间</w:t>
      </w:r>
      <w:bookmarkStart w:id="186" w:name="_Toc300834993"/>
      <w:bookmarkStart w:id="187" w:name="_Toc384308255"/>
      <w:bookmarkStart w:id="188" w:name="_Toc361508630"/>
      <w:bookmarkStart w:id="189" w:name="_Toc144974538"/>
      <w:bookmarkStart w:id="190" w:name="_Toc152045570"/>
      <w:bookmarkStart w:id="191" w:name="_Toc12776"/>
      <w:bookmarkStart w:id="192" w:name="_Toc152042346"/>
      <w:bookmarkStart w:id="193" w:name="_Toc247527595"/>
      <w:bookmarkStart w:id="194" w:name="_Toc247513994"/>
      <w:bookmarkStart w:id="195" w:name="_Toc352691517"/>
      <w:bookmarkStart w:id="196" w:name="_Toc369531561"/>
      <w:r>
        <w:rPr>
          <w:rFonts w:hint="eastAsia" w:ascii="宋体" w:hAnsi="宋体" w:eastAsia="宋体" w:cs="宋体"/>
          <w:sz w:val="24"/>
          <w:highlight w:val="none"/>
        </w:rPr>
        <w:t>不计算在第8.5.</w:t>
      </w:r>
      <w:bookmarkEnd w:id="186"/>
      <w:bookmarkEnd w:id="187"/>
      <w:bookmarkEnd w:id="188"/>
      <w:bookmarkEnd w:id="189"/>
      <w:bookmarkEnd w:id="190"/>
      <w:bookmarkEnd w:id="191"/>
      <w:bookmarkEnd w:id="192"/>
      <w:bookmarkEnd w:id="193"/>
      <w:bookmarkEnd w:id="194"/>
      <w:bookmarkEnd w:id="195"/>
      <w:bookmarkEnd w:id="196"/>
      <w:r>
        <w:rPr>
          <w:rFonts w:hint="eastAsia" w:ascii="宋体" w:hAnsi="宋体" w:eastAsia="宋体" w:cs="宋体"/>
          <w:sz w:val="24"/>
          <w:highlight w:val="none"/>
        </w:rPr>
        <w:t>1项规定的期限内。</w:t>
      </w:r>
    </w:p>
    <w:p>
      <w:pPr>
        <w:pStyle w:val="3"/>
        <w:spacing w:before="360" w:after="240" w:line="440" w:lineRule="atLeast"/>
        <w:rPr>
          <w:rFonts w:hint="eastAsia" w:ascii="宋体" w:hAnsi="宋体" w:eastAsia="宋体" w:cs="宋体"/>
          <w:b w:val="0"/>
          <w:sz w:val="28"/>
          <w:szCs w:val="28"/>
          <w:highlight w:val="none"/>
        </w:rPr>
      </w:pPr>
      <w:bookmarkStart w:id="197" w:name="_Toc510015729"/>
      <w:bookmarkStart w:id="198" w:name="_Toc503235797"/>
      <w:r>
        <w:rPr>
          <w:rFonts w:hint="eastAsia" w:ascii="宋体" w:hAnsi="宋体" w:eastAsia="宋体" w:cs="宋体"/>
          <w:b w:val="0"/>
          <w:sz w:val="28"/>
          <w:szCs w:val="28"/>
          <w:highlight w:val="none"/>
        </w:rPr>
        <w:t>9. 是否采用电子招标投标</w:t>
      </w:r>
      <w:bookmarkEnd w:id="197"/>
      <w:bookmarkEnd w:id="198"/>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本招标项目是否采用电子招标投标方式，见投标人须知前附表。</w:t>
      </w:r>
    </w:p>
    <w:p>
      <w:pPr>
        <w:pStyle w:val="3"/>
        <w:spacing w:before="360" w:after="240" w:line="440" w:lineRule="atLeast"/>
        <w:rPr>
          <w:rFonts w:hint="eastAsia" w:ascii="宋体" w:hAnsi="宋体" w:eastAsia="宋体" w:cs="宋体"/>
          <w:b w:val="0"/>
          <w:sz w:val="28"/>
          <w:szCs w:val="28"/>
          <w:highlight w:val="none"/>
        </w:rPr>
      </w:pPr>
      <w:bookmarkStart w:id="199" w:name="_Toc510015730"/>
      <w:bookmarkStart w:id="200" w:name="_Toc503235798"/>
      <w:r>
        <w:rPr>
          <w:rFonts w:hint="eastAsia" w:ascii="宋体" w:hAnsi="宋体" w:eastAsia="宋体" w:cs="宋体"/>
          <w:b w:val="0"/>
          <w:sz w:val="28"/>
          <w:szCs w:val="28"/>
          <w:highlight w:val="none"/>
        </w:rPr>
        <w:t>10. 需要补充的其他内容</w:t>
      </w:r>
      <w:bookmarkEnd w:id="199"/>
      <w:bookmarkEnd w:id="200"/>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10.1 自购买招标文件之日起，投标人应保证其提供的联系方式（电话、传真、电子邮件）一直有效，以便及时收到招标人发出的函件（招标文件的澄清、修改等），并应及时向招标人反馈信息，否则招标人不承担由此引起的一切后果。</w:t>
      </w:r>
    </w:p>
    <w:p>
      <w:pPr>
        <w:spacing w:line="440" w:lineRule="atLeast"/>
        <w:ind w:firstLine="480" w:firstLineChars="200"/>
        <w:rPr>
          <w:rFonts w:hint="eastAsia" w:ascii="宋体" w:hAnsi="宋体" w:eastAsia="宋体" w:cs="宋体"/>
          <w:sz w:val="24"/>
          <w:highlight w:val="none"/>
        </w:rPr>
      </w:pPr>
    </w:p>
    <w:p>
      <w:pPr>
        <w:spacing w:line="440" w:lineRule="atLeast"/>
        <w:ind w:firstLine="480" w:firstLineChars="200"/>
        <w:rPr>
          <w:rFonts w:hint="eastAsia" w:ascii="宋体" w:hAnsi="宋体" w:eastAsia="宋体" w:cs="宋体"/>
          <w:sz w:val="24"/>
          <w:highlight w:val="none"/>
        </w:rPr>
      </w:pPr>
      <w:r>
        <w:rPr>
          <w:rFonts w:hint="eastAsia" w:ascii="宋体" w:hAnsi="宋体" w:eastAsia="宋体" w:cs="宋体"/>
          <w:sz w:val="24"/>
          <w:highlight w:val="none"/>
        </w:rPr>
        <w:t>需要补充的其他内容：见投标人须知前附表。</w:t>
      </w:r>
    </w:p>
    <w:p>
      <w:pPr>
        <w:spacing w:before="60" w:beforeLines="25" w:after="60" w:afterLines="25" w:line="300" w:lineRule="auto"/>
        <w:ind w:firstLine="480" w:firstLineChars="200"/>
        <w:rPr>
          <w:rFonts w:ascii="宋体" w:hAnsi="宋体"/>
          <w:sz w:val="24"/>
          <w:highlight w:val="none"/>
        </w:rPr>
      </w:pPr>
    </w:p>
    <w:p>
      <w:pPr>
        <w:rPr>
          <w:rFonts w:hint="eastAsia" w:ascii="黑体" w:eastAsia="黑体"/>
          <w:szCs w:val="24"/>
          <w:highlight w:val="none"/>
        </w:rPr>
      </w:pPr>
      <w:bookmarkStart w:id="201" w:name="_Toc359413706"/>
      <w:bookmarkStart w:id="202" w:name="_Toc4691"/>
      <w:bookmarkStart w:id="203" w:name="_Toc10854"/>
      <w:bookmarkStart w:id="204" w:name="_Toc338413707"/>
      <w:bookmarkStart w:id="205" w:name="_Toc425933702"/>
      <w:r>
        <w:rPr>
          <w:rFonts w:hint="eastAsia" w:ascii="黑体" w:eastAsia="黑体"/>
          <w:szCs w:val="24"/>
          <w:highlight w:val="none"/>
        </w:rPr>
        <w:br w:type="page"/>
      </w:r>
    </w:p>
    <w:bookmarkEnd w:id="201"/>
    <w:bookmarkEnd w:id="202"/>
    <w:bookmarkEnd w:id="203"/>
    <w:bookmarkEnd w:id="204"/>
    <w:bookmarkEnd w:id="205"/>
    <w:p>
      <w:pPr>
        <w:pStyle w:val="3"/>
        <w:spacing w:before="0" w:after="0" w:line="440" w:lineRule="atLeast"/>
        <w:rPr>
          <w:rFonts w:eastAsia="黑体"/>
          <w:b w:val="0"/>
          <w:sz w:val="24"/>
          <w:szCs w:val="24"/>
          <w:highlight w:val="none"/>
        </w:rPr>
      </w:pPr>
      <w:bookmarkStart w:id="206" w:name="_Toc503235799"/>
      <w:bookmarkStart w:id="207" w:name="_Toc510015731"/>
      <w:r>
        <w:rPr>
          <w:rFonts w:eastAsia="黑体"/>
          <w:b w:val="0"/>
          <w:sz w:val="24"/>
          <w:szCs w:val="24"/>
          <w:highlight w:val="none"/>
        </w:rPr>
        <w:t>附件一 开标记录表</w:t>
      </w:r>
      <w:bookmarkEnd w:id="206"/>
      <w:r>
        <w:rPr>
          <w:b w:val="0"/>
          <w:sz w:val="24"/>
          <w:szCs w:val="24"/>
          <w:highlight w:val="none"/>
          <w:vertAlign w:val="superscript"/>
        </w:rPr>
        <w:footnoteReference w:id="9"/>
      </w:r>
      <w:bookmarkEnd w:id="207"/>
    </w:p>
    <w:p>
      <w:pPr>
        <w:spacing w:before="120" w:beforeLines="50" w:line="440" w:lineRule="atLeast"/>
        <w:jc w:val="center"/>
        <w:rPr>
          <w:rFonts w:eastAsia="黑体"/>
          <w:sz w:val="28"/>
          <w:szCs w:val="28"/>
          <w:highlight w:val="none"/>
        </w:rPr>
      </w:pPr>
      <w:r>
        <w:rPr>
          <w:rFonts w:eastAsia="黑体"/>
          <w:sz w:val="28"/>
          <w:szCs w:val="28"/>
          <w:highlight w:val="none"/>
          <w:u w:val="single"/>
        </w:rPr>
        <w:t xml:space="preserve">       </w:t>
      </w:r>
      <w:r>
        <w:rPr>
          <w:rFonts w:eastAsia="黑体"/>
          <w:sz w:val="28"/>
          <w:szCs w:val="28"/>
          <w:highlight w:val="none"/>
        </w:rPr>
        <w:t>（项目名称）</w:t>
      </w:r>
      <w:r>
        <w:rPr>
          <w:rFonts w:eastAsia="黑体"/>
          <w:sz w:val="28"/>
          <w:szCs w:val="28"/>
          <w:highlight w:val="none"/>
          <w:u w:val="single"/>
        </w:rPr>
        <w:t xml:space="preserve">    </w:t>
      </w:r>
      <w:r>
        <w:rPr>
          <w:rFonts w:eastAsia="黑体"/>
          <w:sz w:val="28"/>
          <w:szCs w:val="28"/>
          <w:highlight w:val="none"/>
        </w:rPr>
        <w:t>标段咨询服务第一个信封（商务及技术文件）开标记录表</w:t>
      </w:r>
    </w:p>
    <w:p>
      <w:pPr>
        <w:spacing w:line="440" w:lineRule="atLeast"/>
        <w:jc w:val="right"/>
        <w:rPr>
          <w:sz w:val="24"/>
          <w:highlight w:val="none"/>
        </w:rPr>
      </w:pPr>
      <w:r>
        <w:rPr>
          <w:sz w:val="24"/>
          <w:highlight w:val="none"/>
        </w:rPr>
        <w:t>开标时间：</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r>
        <w:rPr>
          <w:sz w:val="24"/>
          <w:highlight w:val="none"/>
          <w:u w:val="single"/>
        </w:rPr>
        <w:t xml:space="preserve">   </w:t>
      </w:r>
      <w:r>
        <w:rPr>
          <w:sz w:val="24"/>
          <w:highlight w:val="none"/>
        </w:rPr>
        <w:t>时</w:t>
      </w:r>
      <w:r>
        <w:rPr>
          <w:sz w:val="24"/>
          <w:highlight w:val="none"/>
          <w:u w:val="single"/>
        </w:rPr>
        <w:t xml:space="preserve">   </w:t>
      </w:r>
      <w:r>
        <w:rPr>
          <w:sz w:val="24"/>
          <w:highlight w:val="none"/>
        </w:rPr>
        <w:t>分</w:t>
      </w:r>
    </w:p>
    <w:tbl>
      <w:tblPr>
        <w:tblStyle w:val="38"/>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6"/>
        <w:gridCol w:w="1414"/>
        <w:gridCol w:w="1071"/>
        <w:gridCol w:w="1071"/>
        <w:gridCol w:w="2093"/>
        <w:gridCol w:w="1276"/>
        <w:gridCol w:w="15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696" w:type="dxa"/>
            <w:shd w:val="clear" w:color="auto" w:fill="auto"/>
            <w:vAlign w:val="center"/>
          </w:tcPr>
          <w:p>
            <w:pPr>
              <w:spacing w:line="440" w:lineRule="atLeast"/>
              <w:ind w:left="-105" w:leftChars="-50" w:right="-105" w:rightChars="-50"/>
              <w:jc w:val="center"/>
              <w:rPr>
                <w:szCs w:val="21"/>
                <w:highlight w:val="none"/>
              </w:rPr>
            </w:pPr>
            <w:r>
              <w:rPr>
                <w:szCs w:val="21"/>
                <w:highlight w:val="none"/>
              </w:rPr>
              <w:t>序号</w:t>
            </w:r>
          </w:p>
        </w:tc>
        <w:tc>
          <w:tcPr>
            <w:tcW w:w="1414" w:type="dxa"/>
            <w:shd w:val="clear" w:color="auto" w:fill="auto"/>
            <w:vAlign w:val="center"/>
          </w:tcPr>
          <w:p>
            <w:pPr>
              <w:spacing w:line="440" w:lineRule="atLeast"/>
              <w:ind w:left="-105" w:leftChars="-50" w:right="-105" w:rightChars="-50"/>
              <w:jc w:val="center"/>
              <w:rPr>
                <w:szCs w:val="21"/>
                <w:highlight w:val="none"/>
              </w:rPr>
            </w:pPr>
            <w:r>
              <w:rPr>
                <w:szCs w:val="21"/>
                <w:highlight w:val="none"/>
              </w:rPr>
              <w:t>投标人</w:t>
            </w:r>
          </w:p>
        </w:tc>
        <w:tc>
          <w:tcPr>
            <w:tcW w:w="1071" w:type="dxa"/>
            <w:shd w:val="clear" w:color="auto" w:fill="auto"/>
            <w:vAlign w:val="center"/>
          </w:tcPr>
          <w:p>
            <w:pPr>
              <w:spacing w:line="440" w:lineRule="atLeast"/>
              <w:ind w:left="-105" w:leftChars="-50" w:right="-105" w:rightChars="-50"/>
              <w:jc w:val="center"/>
              <w:rPr>
                <w:szCs w:val="21"/>
                <w:highlight w:val="none"/>
              </w:rPr>
            </w:pPr>
            <w:r>
              <w:rPr>
                <w:szCs w:val="21"/>
                <w:highlight w:val="none"/>
              </w:rPr>
              <w:t>密封情况</w:t>
            </w:r>
          </w:p>
        </w:tc>
        <w:tc>
          <w:tcPr>
            <w:tcW w:w="1071" w:type="dxa"/>
            <w:shd w:val="clear" w:color="auto" w:fill="auto"/>
            <w:vAlign w:val="center"/>
          </w:tcPr>
          <w:p>
            <w:pPr>
              <w:spacing w:line="440" w:lineRule="atLeast"/>
              <w:ind w:left="-105" w:leftChars="-50" w:right="-105" w:rightChars="-50"/>
              <w:jc w:val="center"/>
              <w:rPr>
                <w:szCs w:val="21"/>
                <w:highlight w:val="none"/>
              </w:rPr>
            </w:pPr>
            <w:r>
              <w:rPr>
                <w:szCs w:val="21"/>
                <w:highlight w:val="none"/>
              </w:rPr>
              <w:t>投标保证金递交情况</w:t>
            </w:r>
          </w:p>
        </w:tc>
        <w:tc>
          <w:tcPr>
            <w:tcW w:w="2093" w:type="dxa"/>
            <w:shd w:val="clear" w:color="auto" w:fill="auto"/>
            <w:vAlign w:val="center"/>
          </w:tcPr>
          <w:p>
            <w:pPr>
              <w:spacing w:line="440" w:lineRule="atLeast"/>
              <w:ind w:left="-105" w:leftChars="-50" w:right="-105" w:rightChars="-50"/>
              <w:jc w:val="center"/>
              <w:rPr>
                <w:szCs w:val="21"/>
                <w:highlight w:val="none"/>
              </w:rPr>
            </w:pPr>
            <w:r>
              <w:rPr>
                <w:szCs w:val="21"/>
                <w:highlight w:val="none"/>
              </w:rPr>
              <w:t>咨询服务期限</w:t>
            </w:r>
          </w:p>
        </w:tc>
        <w:tc>
          <w:tcPr>
            <w:tcW w:w="1276" w:type="dxa"/>
            <w:shd w:val="clear" w:color="auto" w:fill="auto"/>
            <w:vAlign w:val="center"/>
          </w:tcPr>
          <w:p>
            <w:pPr>
              <w:spacing w:line="440" w:lineRule="atLeast"/>
              <w:ind w:left="-105" w:leftChars="-50" w:right="-105" w:rightChars="-50"/>
              <w:jc w:val="center"/>
              <w:rPr>
                <w:szCs w:val="21"/>
                <w:highlight w:val="none"/>
              </w:rPr>
            </w:pPr>
            <w:r>
              <w:rPr>
                <w:szCs w:val="21"/>
                <w:highlight w:val="none"/>
              </w:rPr>
              <w:t>备注</w:t>
            </w:r>
          </w:p>
        </w:tc>
        <w:tc>
          <w:tcPr>
            <w:tcW w:w="1559" w:type="dxa"/>
            <w:shd w:val="clear" w:color="auto" w:fill="auto"/>
            <w:vAlign w:val="center"/>
          </w:tcPr>
          <w:p>
            <w:pPr>
              <w:spacing w:line="440" w:lineRule="atLeast"/>
              <w:ind w:left="-105" w:leftChars="-50" w:right="-105" w:rightChars="-50"/>
              <w:jc w:val="center"/>
              <w:rPr>
                <w:szCs w:val="21"/>
                <w:highlight w:val="none"/>
              </w:rPr>
            </w:pPr>
            <w:r>
              <w:rPr>
                <w:szCs w:val="21"/>
                <w:highlight w:val="none"/>
              </w:rPr>
              <w:t>投标人代表签名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6" w:type="dxa"/>
            <w:shd w:val="clear" w:color="auto" w:fill="auto"/>
          </w:tcPr>
          <w:p>
            <w:pPr>
              <w:spacing w:before="120" w:beforeLines="50" w:line="440" w:lineRule="atLeast"/>
              <w:jc w:val="right"/>
              <w:rPr>
                <w:sz w:val="24"/>
                <w:highlight w:val="none"/>
              </w:rPr>
            </w:pPr>
          </w:p>
        </w:tc>
        <w:tc>
          <w:tcPr>
            <w:tcW w:w="1414"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1071" w:type="dxa"/>
            <w:shd w:val="clear" w:color="auto" w:fill="auto"/>
          </w:tcPr>
          <w:p>
            <w:pPr>
              <w:spacing w:before="120" w:beforeLines="50" w:line="440" w:lineRule="atLeast"/>
              <w:jc w:val="right"/>
              <w:rPr>
                <w:sz w:val="24"/>
                <w:highlight w:val="none"/>
              </w:rPr>
            </w:pPr>
          </w:p>
        </w:tc>
        <w:tc>
          <w:tcPr>
            <w:tcW w:w="2093" w:type="dxa"/>
            <w:shd w:val="clear" w:color="auto" w:fill="auto"/>
          </w:tcPr>
          <w:p>
            <w:pPr>
              <w:spacing w:before="120" w:beforeLines="50" w:line="440" w:lineRule="atLeast"/>
              <w:jc w:val="right"/>
              <w:rPr>
                <w:sz w:val="24"/>
                <w:highlight w:val="none"/>
              </w:rPr>
            </w:pPr>
          </w:p>
        </w:tc>
        <w:tc>
          <w:tcPr>
            <w:tcW w:w="1276" w:type="dxa"/>
            <w:shd w:val="clear" w:color="auto" w:fill="auto"/>
          </w:tcPr>
          <w:p>
            <w:pPr>
              <w:spacing w:before="120" w:beforeLines="50" w:line="440" w:lineRule="atLeast"/>
              <w:jc w:val="right"/>
              <w:rPr>
                <w:sz w:val="24"/>
                <w:highlight w:val="none"/>
              </w:rPr>
            </w:pPr>
          </w:p>
        </w:tc>
        <w:tc>
          <w:tcPr>
            <w:tcW w:w="1559" w:type="dxa"/>
            <w:shd w:val="clear" w:color="auto" w:fill="auto"/>
          </w:tcPr>
          <w:p>
            <w:pPr>
              <w:spacing w:before="120" w:beforeLines="50" w:line="440" w:lineRule="atLeast"/>
              <w:jc w:val="right"/>
              <w:rPr>
                <w:sz w:val="24"/>
                <w:highlight w:val="none"/>
              </w:rPr>
            </w:pPr>
          </w:p>
        </w:tc>
      </w:tr>
    </w:tbl>
    <w:p>
      <w:pPr>
        <w:spacing w:line="440" w:lineRule="atLeast"/>
        <w:rPr>
          <w:szCs w:val="21"/>
          <w:highlight w:val="none"/>
        </w:rPr>
      </w:pPr>
    </w:p>
    <w:p>
      <w:pPr>
        <w:spacing w:line="440" w:lineRule="atLeast"/>
        <w:rPr>
          <w:szCs w:val="21"/>
          <w:highlight w:val="none"/>
          <w:u w:val="single"/>
        </w:rPr>
      </w:pPr>
      <w:r>
        <w:rPr>
          <w:szCs w:val="21"/>
          <w:highlight w:val="none"/>
        </w:rPr>
        <w:t>招标人代表：</w:t>
      </w:r>
      <w:r>
        <w:rPr>
          <w:szCs w:val="21"/>
          <w:highlight w:val="none"/>
          <w:u w:val="single"/>
        </w:rPr>
        <w:t xml:space="preserve">             </w:t>
      </w:r>
      <w:r>
        <w:rPr>
          <w:szCs w:val="21"/>
          <w:highlight w:val="none"/>
        </w:rPr>
        <w:t xml:space="preserve">                                      记录人：</w:t>
      </w:r>
      <w:r>
        <w:rPr>
          <w:szCs w:val="21"/>
          <w:highlight w:val="none"/>
          <w:u w:val="single"/>
        </w:rPr>
        <w:t xml:space="preserve">             </w:t>
      </w:r>
      <w:r>
        <w:rPr>
          <w:szCs w:val="21"/>
          <w:highlight w:val="none"/>
        </w:rPr>
        <w:t xml:space="preserve">       </w:t>
      </w:r>
    </w:p>
    <w:p>
      <w:pPr>
        <w:spacing w:line="440" w:lineRule="atLeast"/>
        <w:jc w:val="right"/>
        <w:rPr>
          <w:szCs w:val="21"/>
          <w:highlight w:val="none"/>
        </w:rPr>
        <w:sectPr>
          <w:footerReference r:id="rId11" w:type="default"/>
          <w:headerReference r:id="rId10" w:type="even"/>
          <w:footerReference r:id="rId12" w:type="even"/>
          <w:footnotePr>
            <w:numFmt w:val="decimalEnclosedCircleChinese"/>
            <w:numRestart w:val="eachPage"/>
          </w:footnotePr>
          <w:pgSz w:w="11907" w:h="16840"/>
          <w:pgMar w:top="1588" w:right="1531" w:bottom="1644" w:left="1588" w:header="851" w:footer="851" w:gutter="0"/>
          <w:cols w:space="425" w:num="1"/>
          <w:docGrid w:linePitch="312" w:charSpace="0"/>
        </w:sectPr>
      </w:pPr>
      <w:r>
        <w:rPr>
          <w:szCs w:val="21"/>
          <w:highlight w:val="none"/>
          <w:u w:val="single"/>
        </w:rPr>
        <w:t xml:space="preserve">          </w:t>
      </w:r>
      <w:r>
        <w:rPr>
          <w:szCs w:val="21"/>
          <w:highlight w:val="none"/>
        </w:rPr>
        <w:t xml:space="preserve">年 </w:t>
      </w:r>
      <w:r>
        <w:rPr>
          <w:szCs w:val="21"/>
          <w:highlight w:val="none"/>
          <w:u w:val="single"/>
        </w:rPr>
        <w:t xml:space="preserve">      </w:t>
      </w:r>
      <w:r>
        <w:rPr>
          <w:szCs w:val="21"/>
          <w:highlight w:val="none"/>
        </w:rPr>
        <w:t xml:space="preserve"> 月</w:t>
      </w:r>
      <w:r>
        <w:rPr>
          <w:szCs w:val="21"/>
          <w:highlight w:val="none"/>
          <w:u w:val="single"/>
        </w:rPr>
        <w:t xml:space="preserve">         </w:t>
      </w:r>
      <w:r>
        <w:rPr>
          <w:szCs w:val="21"/>
          <w:highlight w:val="none"/>
        </w:rPr>
        <w:t>日</w:t>
      </w:r>
    </w:p>
    <w:p>
      <w:pPr>
        <w:spacing w:line="440" w:lineRule="atLeast"/>
        <w:jc w:val="center"/>
        <w:rPr>
          <w:rFonts w:eastAsia="黑体"/>
          <w:sz w:val="28"/>
          <w:szCs w:val="28"/>
          <w:highlight w:val="none"/>
        </w:rPr>
      </w:pPr>
      <w:r>
        <w:rPr>
          <w:rFonts w:eastAsia="黑体"/>
          <w:sz w:val="28"/>
          <w:szCs w:val="28"/>
          <w:highlight w:val="none"/>
          <w:u w:val="single"/>
        </w:rPr>
        <w:t xml:space="preserve">       </w:t>
      </w:r>
      <w:r>
        <w:rPr>
          <w:rFonts w:eastAsia="黑体"/>
          <w:sz w:val="28"/>
          <w:szCs w:val="28"/>
          <w:highlight w:val="none"/>
        </w:rPr>
        <w:t>（项目名称）</w:t>
      </w:r>
      <w:r>
        <w:rPr>
          <w:rFonts w:eastAsia="黑体"/>
          <w:sz w:val="28"/>
          <w:szCs w:val="28"/>
          <w:highlight w:val="none"/>
          <w:u w:val="single"/>
        </w:rPr>
        <w:t xml:space="preserve">    </w:t>
      </w:r>
      <w:r>
        <w:rPr>
          <w:rFonts w:eastAsia="黑体"/>
          <w:sz w:val="28"/>
          <w:szCs w:val="28"/>
          <w:highlight w:val="none"/>
        </w:rPr>
        <w:t>标段咨询服务第二个信封（报价文件）</w:t>
      </w:r>
    </w:p>
    <w:p>
      <w:pPr>
        <w:spacing w:line="440" w:lineRule="atLeast"/>
        <w:jc w:val="center"/>
        <w:rPr>
          <w:rFonts w:eastAsia="黑体"/>
          <w:sz w:val="28"/>
          <w:szCs w:val="28"/>
          <w:highlight w:val="none"/>
        </w:rPr>
      </w:pPr>
      <w:r>
        <w:rPr>
          <w:rFonts w:eastAsia="黑体"/>
          <w:sz w:val="28"/>
          <w:szCs w:val="28"/>
          <w:highlight w:val="none"/>
        </w:rPr>
        <w:t>开标记录表</w:t>
      </w:r>
    </w:p>
    <w:p>
      <w:pPr>
        <w:spacing w:line="440" w:lineRule="atLeast"/>
        <w:jc w:val="right"/>
        <w:rPr>
          <w:sz w:val="24"/>
          <w:highlight w:val="none"/>
        </w:rPr>
      </w:pPr>
      <w:r>
        <w:rPr>
          <w:sz w:val="24"/>
          <w:highlight w:val="none"/>
        </w:rPr>
        <w:t>开标时间：</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r>
        <w:rPr>
          <w:sz w:val="24"/>
          <w:highlight w:val="none"/>
          <w:u w:val="single"/>
        </w:rPr>
        <w:t xml:space="preserve">   </w:t>
      </w:r>
      <w:r>
        <w:rPr>
          <w:sz w:val="24"/>
          <w:highlight w:val="none"/>
        </w:rPr>
        <w:t>时</w:t>
      </w:r>
      <w:r>
        <w:rPr>
          <w:sz w:val="24"/>
          <w:highlight w:val="none"/>
          <w:u w:val="single"/>
        </w:rPr>
        <w:t xml:space="preserve">   </w:t>
      </w:r>
      <w:r>
        <w:rPr>
          <w:sz w:val="24"/>
          <w:highlight w:val="none"/>
        </w:rPr>
        <w:t>分</w:t>
      </w:r>
    </w:p>
    <w:tbl>
      <w:tblPr>
        <w:tblStyle w:val="38"/>
        <w:tblW w:w="89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439"/>
        <w:gridCol w:w="1362"/>
        <w:gridCol w:w="1560"/>
        <w:gridCol w:w="1181"/>
        <w:gridCol w:w="1010"/>
        <w:gridCol w:w="17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trPr>
        <w:tc>
          <w:tcPr>
            <w:tcW w:w="709" w:type="dxa"/>
            <w:shd w:val="clear" w:color="auto" w:fill="auto"/>
            <w:vAlign w:val="center"/>
          </w:tcPr>
          <w:p>
            <w:pPr>
              <w:spacing w:line="440" w:lineRule="atLeast"/>
              <w:ind w:left="-105" w:leftChars="-50" w:right="-105" w:rightChars="-50"/>
              <w:jc w:val="center"/>
              <w:rPr>
                <w:szCs w:val="21"/>
                <w:highlight w:val="none"/>
              </w:rPr>
            </w:pPr>
            <w:r>
              <w:rPr>
                <w:szCs w:val="21"/>
                <w:highlight w:val="none"/>
              </w:rPr>
              <w:t>序号</w:t>
            </w:r>
          </w:p>
        </w:tc>
        <w:tc>
          <w:tcPr>
            <w:tcW w:w="1439" w:type="dxa"/>
            <w:shd w:val="clear" w:color="auto" w:fill="auto"/>
            <w:vAlign w:val="center"/>
          </w:tcPr>
          <w:p>
            <w:pPr>
              <w:spacing w:line="440" w:lineRule="atLeast"/>
              <w:ind w:left="-105" w:leftChars="-50" w:right="-105" w:rightChars="-50"/>
              <w:jc w:val="center"/>
              <w:rPr>
                <w:szCs w:val="21"/>
                <w:highlight w:val="none"/>
              </w:rPr>
            </w:pPr>
            <w:r>
              <w:rPr>
                <w:szCs w:val="21"/>
                <w:highlight w:val="none"/>
              </w:rPr>
              <w:t>投标人</w:t>
            </w:r>
          </w:p>
        </w:tc>
        <w:tc>
          <w:tcPr>
            <w:tcW w:w="1362" w:type="dxa"/>
            <w:shd w:val="clear" w:color="auto" w:fill="auto"/>
            <w:vAlign w:val="center"/>
          </w:tcPr>
          <w:p>
            <w:pPr>
              <w:spacing w:line="440" w:lineRule="atLeast"/>
              <w:ind w:left="-105" w:leftChars="-50" w:right="-105" w:rightChars="-50"/>
              <w:jc w:val="center"/>
              <w:rPr>
                <w:szCs w:val="21"/>
                <w:highlight w:val="none"/>
              </w:rPr>
            </w:pPr>
            <w:r>
              <w:rPr>
                <w:szCs w:val="21"/>
                <w:highlight w:val="none"/>
              </w:rPr>
              <w:t>密封情况</w:t>
            </w:r>
          </w:p>
        </w:tc>
        <w:tc>
          <w:tcPr>
            <w:tcW w:w="1560" w:type="dxa"/>
            <w:shd w:val="clear" w:color="auto" w:fill="auto"/>
            <w:vAlign w:val="center"/>
          </w:tcPr>
          <w:p>
            <w:pPr>
              <w:spacing w:line="440" w:lineRule="atLeast"/>
              <w:ind w:left="-105" w:leftChars="-50" w:right="-105" w:rightChars="-50"/>
              <w:jc w:val="center"/>
              <w:rPr>
                <w:szCs w:val="21"/>
                <w:highlight w:val="none"/>
              </w:rPr>
            </w:pPr>
            <w:r>
              <w:rPr>
                <w:szCs w:val="21"/>
                <w:highlight w:val="none"/>
              </w:rPr>
              <w:t>投标报价（元）</w:t>
            </w:r>
          </w:p>
        </w:tc>
        <w:tc>
          <w:tcPr>
            <w:tcW w:w="1181" w:type="dxa"/>
            <w:shd w:val="clear" w:color="auto" w:fill="auto"/>
            <w:vAlign w:val="center"/>
          </w:tcPr>
          <w:p>
            <w:pPr>
              <w:spacing w:line="440" w:lineRule="atLeast"/>
              <w:ind w:left="-105" w:leftChars="-50" w:right="-105" w:rightChars="-50"/>
              <w:jc w:val="center"/>
              <w:rPr>
                <w:szCs w:val="21"/>
                <w:highlight w:val="none"/>
              </w:rPr>
            </w:pPr>
            <w:r>
              <w:rPr>
                <w:szCs w:val="21"/>
                <w:highlight w:val="none"/>
              </w:rPr>
              <w:t>是否超过最高投标限价</w:t>
            </w:r>
          </w:p>
        </w:tc>
        <w:tc>
          <w:tcPr>
            <w:tcW w:w="1010" w:type="dxa"/>
            <w:shd w:val="clear" w:color="auto" w:fill="auto"/>
            <w:vAlign w:val="center"/>
          </w:tcPr>
          <w:p>
            <w:pPr>
              <w:spacing w:line="440" w:lineRule="atLeast"/>
              <w:ind w:left="-105" w:leftChars="-50" w:right="-105" w:rightChars="-50"/>
              <w:jc w:val="center"/>
              <w:rPr>
                <w:szCs w:val="21"/>
                <w:highlight w:val="none"/>
              </w:rPr>
            </w:pPr>
            <w:r>
              <w:rPr>
                <w:szCs w:val="21"/>
                <w:highlight w:val="none"/>
              </w:rPr>
              <w:t>备注</w:t>
            </w:r>
          </w:p>
        </w:tc>
        <w:tc>
          <w:tcPr>
            <w:tcW w:w="1736" w:type="dxa"/>
            <w:shd w:val="clear" w:color="auto" w:fill="auto"/>
            <w:vAlign w:val="center"/>
          </w:tcPr>
          <w:p>
            <w:pPr>
              <w:spacing w:line="440" w:lineRule="atLeast"/>
              <w:ind w:left="-105" w:leftChars="-50" w:right="-105" w:rightChars="-50"/>
              <w:jc w:val="center"/>
              <w:rPr>
                <w:szCs w:val="21"/>
                <w:highlight w:val="none"/>
              </w:rPr>
            </w:pPr>
            <w:r>
              <w:rPr>
                <w:szCs w:val="21"/>
                <w:highlight w:val="none"/>
              </w:rPr>
              <w:t>投标人代表签名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9" w:type="dxa"/>
            <w:shd w:val="clear" w:color="auto" w:fill="auto"/>
          </w:tcPr>
          <w:p>
            <w:pPr>
              <w:spacing w:before="120" w:beforeLines="50" w:line="440" w:lineRule="atLeast"/>
              <w:jc w:val="right"/>
              <w:rPr>
                <w:sz w:val="24"/>
                <w:highlight w:val="none"/>
              </w:rPr>
            </w:pPr>
          </w:p>
        </w:tc>
        <w:tc>
          <w:tcPr>
            <w:tcW w:w="1439" w:type="dxa"/>
            <w:shd w:val="clear" w:color="auto" w:fill="auto"/>
          </w:tcPr>
          <w:p>
            <w:pPr>
              <w:spacing w:before="120" w:beforeLines="50" w:line="440" w:lineRule="atLeast"/>
              <w:jc w:val="right"/>
              <w:rPr>
                <w:sz w:val="24"/>
                <w:highlight w:val="none"/>
              </w:rPr>
            </w:pPr>
          </w:p>
        </w:tc>
        <w:tc>
          <w:tcPr>
            <w:tcW w:w="1362" w:type="dxa"/>
            <w:shd w:val="clear" w:color="auto" w:fill="auto"/>
          </w:tcPr>
          <w:p>
            <w:pPr>
              <w:spacing w:before="120" w:beforeLines="50" w:line="440" w:lineRule="atLeast"/>
              <w:jc w:val="right"/>
              <w:rPr>
                <w:sz w:val="24"/>
                <w:highlight w:val="none"/>
              </w:rPr>
            </w:pPr>
          </w:p>
        </w:tc>
        <w:tc>
          <w:tcPr>
            <w:tcW w:w="1560" w:type="dxa"/>
            <w:shd w:val="clear" w:color="auto" w:fill="auto"/>
          </w:tcPr>
          <w:p>
            <w:pPr>
              <w:spacing w:before="120" w:beforeLines="50" w:line="440" w:lineRule="atLeast"/>
              <w:jc w:val="right"/>
              <w:rPr>
                <w:sz w:val="24"/>
                <w:highlight w:val="none"/>
              </w:rPr>
            </w:pPr>
          </w:p>
        </w:tc>
        <w:tc>
          <w:tcPr>
            <w:tcW w:w="1181" w:type="dxa"/>
            <w:shd w:val="clear" w:color="auto" w:fill="auto"/>
          </w:tcPr>
          <w:p>
            <w:pPr>
              <w:spacing w:before="120" w:beforeLines="50" w:line="440" w:lineRule="atLeast"/>
              <w:jc w:val="right"/>
              <w:rPr>
                <w:sz w:val="24"/>
                <w:highlight w:val="none"/>
              </w:rPr>
            </w:pPr>
          </w:p>
        </w:tc>
        <w:tc>
          <w:tcPr>
            <w:tcW w:w="1010" w:type="dxa"/>
            <w:shd w:val="clear" w:color="auto" w:fill="auto"/>
          </w:tcPr>
          <w:p>
            <w:pPr>
              <w:spacing w:before="120" w:beforeLines="50" w:line="440" w:lineRule="atLeast"/>
              <w:jc w:val="right"/>
              <w:rPr>
                <w:sz w:val="24"/>
                <w:highlight w:val="none"/>
              </w:rPr>
            </w:pPr>
          </w:p>
        </w:tc>
        <w:tc>
          <w:tcPr>
            <w:tcW w:w="1736" w:type="dxa"/>
            <w:shd w:val="clear" w:color="auto" w:fill="auto"/>
          </w:tcPr>
          <w:p>
            <w:pPr>
              <w:spacing w:before="120" w:beforeLines="50" w:line="440" w:lineRule="atLeast"/>
              <w:jc w:val="right"/>
              <w:rPr>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10" w:type="dxa"/>
            <w:gridSpan w:val="3"/>
          </w:tcPr>
          <w:p>
            <w:pPr>
              <w:spacing w:before="120" w:beforeLines="50" w:line="440" w:lineRule="atLeast"/>
              <w:jc w:val="right"/>
              <w:rPr>
                <w:sz w:val="24"/>
                <w:highlight w:val="none"/>
              </w:rPr>
            </w:pPr>
            <w:r>
              <w:rPr>
                <w:szCs w:val="21"/>
                <w:highlight w:val="none"/>
              </w:rPr>
              <w:t>招标人编制的最高投标限价（如有）</w:t>
            </w:r>
          </w:p>
        </w:tc>
        <w:tc>
          <w:tcPr>
            <w:tcW w:w="5487" w:type="dxa"/>
            <w:gridSpan w:val="4"/>
          </w:tcPr>
          <w:p>
            <w:pPr>
              <w:spacing w:before="120" w:beforeLines="50" w:line="440" w:lineRule="atLeast"/>
              <w:jc w:val="right"/>
              <w:rPr>
                <w:sz w:val="24"/>
                <w:highlight w:val="none"/>
              </w:rPr>
            </w:pPr>
          </w:p>
        </w:tc>
      </w:tr>
    </w:tbl>
    <w:p>
      <w:pPr>
        <w:spacing w:line="440" w:lineRule="atLeast"/>
        <w:jc w:val="right"/>
        <w:rPr>
          <w:sz w:val="24"/>
          <w:highlight w:val="none"/>
        </w:rPr>
      </w:pPr>
    </w:p>
    <w:p>
      <w:pPr>
        <w:spacing w:line="440" w:lineRule="atLeast"/>
        <w:rPr>
          <w:szCs w:val="21"/>
          <w:highlight w:val="none"/>
          <w:u w:val="single"/>
        </w:rPr>
      </w:pPr>
      <w:r>
        <w:rPr>
          <w:szCs w:val="21"/>
          <w:highlight w:val="none"/>
        </w:rPr>
        <w:t>招标人代表：</w:t>
      </w:r>
      <w:r>
        <w:rPr>
          <w:szCs w:val="21"/>
          <w:highlight w:val="none"/>
          <w:u w:val="single"/>
        </w:rPr>
        <w:t xml:space="preserve">             </w:t>
      </w:r>
      <w:r>
        <w:rPr>
          <w:szCs w:val="21"/>
          <w:highlight w:val="none"/>
        </w:rPr>
        <w:t xml:space="preserve">                                      记录人：</w:t>
      </w:r>
      <w:r>
        <w:rPr>
          <w:szCs w:val="21"/>
          <w:highlight w:val="none"/>
          <w:u w:val="single"/>
        </w:rPr>
        <w:t xml:space="preserve">             </w:t>
      </w:r>
      <w:r>
        <w:rPr>
          <w:szCs w:val="21"/>
          <w:highlight w:val="none"/>
        </w:rPr>
        <w:t xml:space="preserve">       </w:t>
      </w:r>
    </w:p>
    <w:p>
      <w:pPr>
        <w:spacing w:line="440" w:lineRule="atLeast"/>
        <w:jc w:val="right"/>
        <w:rPr>
          <w:szCs w:val="21"/>
          <w:highlight w:val="none"/>
        </w:rPr>
      </w:pP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widowControl/>
        <w:spacing w:line="440" w:lineRule="atLeast"/>
        <w:jc w:val="left"/>
        <w:rPr>
          <w:rFonts w:eastAsia="黑体"/>
          <w:bCs/>
          <w:kern w:val="44"/>
          <w:sz w:val="24"/>
          <w:highlight w:val="none"/>
        </w:rPr>
      </w:pPr>
      <w:r>
        <w:rPr>
          <w:rFonts w:eastAsia="黑体"/>
          <w:b/>
          <w:sz w:val="24"/>
          <w:highlight w:val="none"/>
        </w:rPr>
        <w:br w:type="page"/>
      </w:r>
    </w:p>
    <w:p>
      <w:pPr>
        <w:pStyle w:val="3"/>
        <w:spacing w:before="0" w:after="0" w:line="440" w:lineRule="atLeast"/>
        <w:rPr>
          <w:rFonts w:eastAsia="黑体"/>
          <w:b w:val="0"/>
          <w:sz w:val="24"/>
          <w:szCs w:val="24"/>
          <w:highlight w:val="none"/>
        </w:rPr>
      </w:pPr>
      <w:bookmarkStart w:id="208" w:name="_Toc503235800"/>
      <w:bookmarkStart w:id="209" w:name="_Toc510015732"/>
      <w:bookmarkStart w:id="210" w:name="_Toc501257120"/>
      <w:r>
        <w:rPr>
          <w:rFonts w:eastAsia="黑体"/>
          <w:b w:val="0"/>
          <w:sz w:val="24"/>
          <w:szCs w:val="24"/>
          <w:highlight w:val="none"/>
        </w:rPr>
        <w:t>附件二 问题澄清通知</w:t>
      </w:r>
      <w:bookmarkEnd w:id="208"/>
      <w:bookmarkEnd w:id="209"/>
      <w:bookmarkEnd w:id="210"/>
    </w:p>
    <w:p>
      <w:pPr>
        <w:spacing w:line="440" w:lineRule="atLeast"/>
        <w:jc w:val="center"/>
        <w:rPr>
          <w:sz w:val="28"/>
          <w:szCs w:val="28"/>
          <w:highlight w:val="none"/>
        </w:rPr>
      </w:pPr>
    </w:p>
    <w:p>
      <w:pPr>
        <w:spacing w:line="440" w:lineRule="atLeast"/>
        <w:jc w:val="center"/>
        <w:rPr>
          <w:rFonts w:eastAsia="黑体"/>
          <w:sz w:val="28"/>
          <w:szCs w:val="28"/>
          <w:highlight w:val="none"/>
        </w:rPr>
      </w:pPr>
      <w:r>
        <w:rPr>
          <w:rFonts w:eastAsia="黑体"/>
          <w:sz w:val="28"/>
          <w:szCs w:val="28"/>
          <w:highlight w:val="none"/>
        </w:rPr>
        <w:t>问题澄清通知</w:t>
      </w:r>
    </w:p>
    <w:p>
      <w:pPr>
        <w:spacing w:line="440" w:lineRule="atLeast"/>
        <w:jc w:val="center"/>
        <w:rPr>
          <w:sz w:val="24"/>
          <w:highlight w:val="none"/>
        </w:rPr>
      </w:pPr>
      <w:r>
        <w:rPr>
          <w:highlight w:val="none"/>
        </w:rPr>
        <w:t>（编号：</w:t>
      </w:r>
      <w:r>
        <w:rPr>
          <w:rFonts w:eastAsia="黑体"/>
          <w:sz w:val="28"/>
          <w:highlight w:val="none"/>
          <w:u w:val="single"/>
        </w:rPr>
        <w:t xml:space="preserve">               </w:t>
      </w:r>
      <w:r>
        <w:rPr>
          <w:highlight w:val="none"/>
        </w:rPr>
        <w:t>）</w:t>
      </w:r>
    </w:p>
    <w:p>
      <w:pPr>
        <w:spacing w:line="440" w:lineRule="atLeast"/>
        <w:rPr>
          <w:sz w:val="24"/>
          <w:highlight w:val="none"/>
        </w:rPr>
      </w:pPr>
    </w:p>
    <w:p>
      <w:pPr>
        <w:spacing w:line="440" w:lineRule="atLeast"/>
        <w:rPr>
          <w:sz w:val="24"/>
          <w:highlight w:val="none"/>
        </w:rPr>
      </w:pPr>
      <w:r>
        <w:rPr>
          <w:sz w:val="24"/>
          <w:highlight w:val="none"/>
          <w:u w:val="single"/>
        </w:rPr>
        <w:t xml:space="preserve">               </w:t>
      </w:r>
      <w:r>
        <w:rPr>
          <w:sz w:val="24"/>
          <w:highlight w:val="none"/>
        </w:rPr>
        <w:t>（投标人名称）：</w:t>
      </w:r>
    </w:p>
    <w:p>
      <w:pPr>
        <w:spacing w:line="440" w:lineRule="atLeast"/>
        <w:rPr>
          <w:sz w:val="24"/>
          <w:highlight w:val="none"/>
        </w:rPr>
      </w:pPr>
    </w:p>
    <w:p>
      <w:pPr>
        <w:spacing w:line="440" w:lineRule="atLeast"/>
        <w:rPr>
          <w:sz w:val="24"/>
          <w:highlight w:val="none"/>
        </w:rPr>
      </w:pPr>
      <w:r>
        <w:rPr>
          <w:sz w:val="24"/>
          <w:highlight w:val="none"/>
        </w:rPr>
        <w:t xml:space="preserve">　　  </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标段咨询服务招标的评标委员会，对你方的投标文件进行了仔细的审查，现需你方对下列问题以书面形式予以澄清或说明：</w:t>
      </w:r>
    </w:p>
    <w:p>
      <w:pPr>
        <w:spacing w:line="440" w:lineRule="atLeast"/>
        <w:rPr>
          <w:sz w:val="24"/>
          <w:highlight w:val="none"/>
        </w:rPr>
      </w:pPr>
      <w:r>
        <w:rPr>
          <w:sz w:val="24"/>
          <w:highlight w:val="none"/>
        </w:rPr>
        <w:t>　　</w:t>
      </w:r>
    </w:p>
    <w:p>
      <w:pPr>
        <w:spacing w:line="440" w:lineRule="atLeast"/>
        <w:rPr>
          <w:sz w:val="24"/>
          <w:highlight w:val="none"/>
        </w:rPr>
      </w:pPr>
      <w:r>
        <w:rPr>
          <w:sz w:val="24"/>
          <w:highlight w:val="none"/>
        </w:rPr>
        <w:t xml:space="preserve">    1.</w:t>
      </w:r>
    </w:p>
    <w:p>
      <w:pPr>
        <w:spacing w:line="440" w:lineRule="atLeast"/>
        <w:rPr>
          <w:sz w:val="24"/>
          <w:highlight w:val="none"/>
        </w:rPr>
      </w:pPr>
      <w:r>
        <w:rPr>
          <w:sz w:val="24"/>
          <w:highlight w:val="none"/>
        </w:rPr>
        <w:t xml:space="preserve">    2.</w:t>
      </w:r>
    </w:p>
    <w:p>
      <w:pPr>
        <w:spacing w:line="440" w:lineRule="atLeast"/>
        <w:rPr>
          <w:sz w:val="24"/>
          <w:highlight w:val="none"/>
        </w:rPr>
      </w:pPr>
      <w:r>
        <w:rPr>
          <w:sz w:val="24"/>
          <w:highlight w:val="none"/>
        </w:rPr>
        <w:t xml:space="preserve">     ......   </w:t>
      </w:r>
    </w:p>
    <w:p>
      <w:pPr>
        <w:spacing w:line="440" w:lineRule="atLeast"/>
        <w:rPr>
          <w:sz w:val="24"/>
          <w:highlight w:val="none"/>
        </w:rPr>
      </w:pPr>
      <w:r>
        <w:rPr>
          <w:sz w:val="24"/>
          <w:highlight w:val="none"/>
        </w:rPr>
        <w:t>　　　</w:t>
      </w:r>
    </w:p>
    <w:p>
      <w:pPr>
        <w:spacing w:line="440" w:lineRule="atLeast"/>
        <w:rPr>
          <w:sz w:val="24"/>
          <w:highlight w:val="none"/>
        </w:rPr>
      </w:pPr>
      <w:r>
        <w:rPr>
          <w:sz w:val="24"/>
          <w:highlight w:val="none"/>
        </w:rPr>
        <w:t>　　请将上述问题的澄清或说明于</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r>
        <w:rPr>
          <w:sz w:val="24"/>
          <w:highlight w:val="none"/>
          <w:u w:val="single"/>
        </w:rPr>
        <w:t xml:space="preserve">   </w:t>
      </w:r>
      <w:r>
        <w:rPr>
          <w:sz w:val="24"/>
          <w:highlight w:val="none"/>
        </w:rPr>
        <w:t>时</w:t>
      </w:r>
      <w:r>
        <w:rPr>
          <w:sz w:val="24"/>
          <w:highlight w:val="none"/>
          <w:u w:val="single"/>
        </w:rPr>
        <w:t xml:space="preserve">   </w:t>
      </w:r>
      <w:r>
        <w:rPr>
          <w:sz w:val="24"/>
          <w:highlight w:val="none"/>
        </w:rPr>
        <w:t>分前递交至</w:t>
      </w:r>
      <w:r>
        <w:rPr>
          <w:sz w:val="24"/>
          <w:highlight w:val="none"/>
          <w:u w:val="single"/>
        </w:rPr>
        <w:t xml:space="preserve">      </w:t>
      </w:r>
      <w:r>
        <w:rPr>
          <w:sz w:val="24"/>
          <w:highlight w:val="none"/>
        </w:rPr>
        <w:t>（详细地址）或传真至</w:t>
      </w:r>
      <w:r>
        <w:rPr>
          <w:sz w:val="24"/>
          <w:highlight w:val="none"/>
          <w:u w:val="single"/>
        </w:rPr>
        <w:t xml:space="preserve">       </w:t>
      </w:r>
      <w:r>
        <w:rPr>
          <w:sz w:val="24"/>
          <w:highlight w:val="none"/>
        </w:rPr>
        <w:t>（传真号码）或通过下载招标文件的电子招标交易平台上传。采用传真方式的，应在</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r>
        <w:rPr>
          <w:sz w:val="24"/>
          <w:highlight w:val="none"/>
          <w:u w:val="single"/>
        </w:rPr>
        <w:t xml:space="preserve">   </w:t>
      </w:r>
      <w:r>
        <w:rPr>
          <w:sz w:val="24"/>
          <w:highlight w:val="none"/>
        </w:rPr>
        <w:t>时</w:t>
      </w:r>
      <w:r>
        <w:rPr>
          <w:sz w:val="24"/>
          <w:highlight w:val="none"/>
          <w:u w:val="single"/>
        </w:rPr>
        <w:t xml:space="preserve">   </w:t>
      </w:r>
      <w:r>
        <w:rPr>
          <w:sz w:val="24"/>
          <w:highlight w:val="none"/>
        </w:rPr>
        <w:t>分前将原件递交至</w:t>
      </w:r>
      <w:r>
        <w:rPr>
          <w:sz w:val="24"/>
          <w:highlight w:val="none"/>
          <w:u w:val="single"/>
        </w:rPr>
        <w:t xml:space="preserve">        </w:t>
      </w:r>
      <w:r>
        <w:rPr>
          <w:sz w:val="24"/>
          <w:highlight w:val="none"/>
        </w:rPr>
        <w:t>（详细地址）。</w:t>
      </w:r>
    </w:p>
    <w:p>
      <w:pPr>
        <w:spacing w:line="440" w:lineRule="atLeast"/>
        <w:rPr>
          <w:sz w:val="24"/>
          <w:highlight w:val="none"/>
        </w:rPr>
      </w:pPr>
    </w:p>
    <w:p>
      <w:pPr>
        <w:spacing w:line="440" w:lineRule="atLeast"/>
        <w:rPr>
          <w:sz w:val="24"/>
          <w:highlight w:val="none"/>
        </w:rPr>
      </w:pPr>
    </w:p>
    <w:p>
      <w:pPr>
        <w:spacing w:line="440" w:lineRule="atLeast"/>
        <w:jc w:val="right"/>
        <w:rPr>
          <w:sz w:val="24"/>
          <w:highlight w:val="none"/>
          <w:u w:val="single"/>
        </w:rPr>
      </w:pPr>
      <w:r>
        <w:rPr>
          <w:sz w:val="24"/>
          <w:highlight w:val="none"/>
        </w:rPr>
        <w:t>评标委员会授权的招标人或招标代理机构：</w:t>
      </w:r>
      <w:r>
        <w:rPr>
          <w:rFonts w:eastAsia="黑体"/>
          <w:sz w:val="24"/>
          <w:highlight w:val="none"/>
          <w:u w:val="single"/>
        </w:rPr>
        <w:t xml:space="preserve">        </w:t>
      </w:r>
      <w:r>
        <w:rPr>
          <w:sz w:val="24"/>
          <w:highlight w:val="none"/>
        </w:rPr>
        <w:t>（签字或盖单位章）</w:t>
      </w:r>
    </w:p>
    <w:p>
      <w:pPr>
        <w:spacing w:line="440" w:lineRule="atLeast"/>
        <w:rPr>
          <w:sz w:val="24"/>
          <w:highlight w:val="none"/>
        </w:rPr>
      </w:pPr>
      <w:r>
        <w:rPr>
          <w:sz w:val="24"/>
          <w:highlight w:val="none"/>
        </w:rPr>
        <w:t xml:space="preserve">                                                </w:t>
      </w:r>
    </w:p>
    <w:p>
      <w:pPr>
        <w:spacing w:line="440" w:lineRule="atLeast"/>
        <w:ind w:right="480"/>
        <w:jc w:val="center"/>
        <w:rPr>
          <w:sz w:val="24"/>
          <w:highlight w:val="none"/>
        </w:rPr>
      </w:pPr>
      <w:r>
        <w:rPr>
          <w:sz w:val="24"/>
          <w:highlight w:val="none"/>
        </w:rPr>
        <w:t xml:space="preserve">                                     </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pStyle w:val="3"/>
        <w:spacing w:before="0" w:after="0" w:line="440" w:lineRule="atLeast"/>
        <w:rPr>
          <w:rFonts w:eastAsia="黑体"/>
          <w:b w:val="0"/>
          <w:sz w:val="24"/>
          <w:szCs w:val="24"/>
          <w:highlight w:val="none"/>
        </w:rPr>
      </w:pPr>
      <w:r>
        <w:rPr>
          <w:sz w:val="24"/>
          <w:highlight w:val="none"/>
        </w:rPr>
        <w:br w:type="page"/>
      </w:r>
      <w:bookmarkStart w:id="211" w:name="_Toc510015733"/>
      <w:bookmarkStart w:id="212" w:name="_Toc503235801"/>
      <w:bookmarkStart w:id="213" w:name="_Toc501257121"/>
      <w:r>
        <w:rPr>
          <w:rFonts w:eastAsia="黑体"/>
          <w:b w:val="0"/>
          <w:sz w:val="24"/>
          <w:szCs w:val="24"/>
          <w:highlight w:val="none"/>
        </w:rPr>
        <w:t>附件三 问题的澄清</w:t>
      </w:r>
      <w:bookmarkEnd w:id="211"/>
      <w:bookmarkEnd w:id="212"/>
      <w:bookmarkEnd w:id="213"/>
    </w:p>
    <w:p>
      <w:pPr>
        <w:spacing w:line="440" w:lineRule="atLeast"/>
        <w:jc w:val="center"/>
        <w:rPr>
          <w:rFonts w:eastAsia="黑体"/>
          <w:sz w:val="28"/>
          <w:szCs w:val="28"/>
          <w:highlight w:val="none"/>
        </w:rPr>
      </w:pPr>
      <w:r>
        <w:rPr>
          <w:rFonts w:eastAsia="黑体"/>
          <w:sz w:val="28"/>
          <w:szCs w:val="28"/>
          <w:highlight w:val="none"/>
        </w:rPr>
        <w:t>问题的澄清</w:t>
      </w:r>
    </w:p>
    <w:p>
      <w:pPr>
        <w:spacing w:line="440" w:lineRule="atLeast"/>
        <w:jc w:val="center"/>
        <w:rPr>
          <w:sz w:val="24"/>
          <w:highlight w:val="none"/>
        </w:rPr>
      </w:pPr>
      <w:r>
        <w:rPr>
          <w:highlight w:val="none"/>
        </w:rPr>
        <w:t>（编号：</w:t>
      </w:r>
      <w:r>
        <w:rPr>
          <w:rFonts w:eastAsia="黑体"/>
          <w:sz w:val="28"/>
          <w:highlight w:val="none"/>
          <w:u w:val="single"/>
        </w:rPr>
        <w:t xml:space="preserve">           </w:t>
      </w:r>
      <w:r>
        <w:rPr>
          <w:highlight w:val="none"/>
        </w:rPr>
        <w:t>）</w:t>
      </w:r>
    </w:p>
    <w:p>
      <w:pPr>
        <w:spacing w:line="440" w:lineRule="atLeast"/>
        <w:rPr>
          <w:sz w:val="24"/>
          <w:highlight w:val="none"/>
        </w:rPr>
      </w:pPr>
    </w:p>
    <w:p>
      <w:pPr>
        <w:spacing w:line="440" w:lineRule="atLeast"/>
        <w:rPr>
          <w:sz w:val="24"/>
          <w:highlight w:val="none"/>
        </w:rPr>
      </w:pP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标段咨询服务招标评标委员会：</w:t>
      </w:r>
    </w:p>
    <w:p>
      <w:pPr>
        <w:spacing w:line="440" w:lineRule="atLeast"/>
        <w:rPr>
          <w:sz w:val="24"/>
          <w:highlight w:val="none"/>
        </w:rPr>
      </w:pPr>
    </w:p>
    <w:p>
      <w:pPr>
        <w:spacing w:line="440" w:lineRule="atLeast"/>
        <w:rPr>
          <w:sz w:val="24"/>
          <w:highlight w:val="none"/>
        </w:rPr>
      </w:pPr>
    </w:p>
    <w:p>
      <w:pPr>
        <w:spacing w:line="440" w:lineRule="atLeast"/>
        <w:ind w:firstLine="480" w:firstLineChars="200"/>
        <w:rPr>
          <w:sz w:val="24"/>
          <w:highlight w:val="none"/>
        </w:rPr>
      </w:pPr>
      <w:r>
        <w:rPr>
          <w:sz w:val="24"/>
          <w:highlight w:val="none"/>
        </w:rPr>
        <w:t>问题澄清通知（编号：</w:t>
      </w:r>
      <w:r>
        <w:rPr>
          <w:sz w:val="24"/>
          <w:highlight w:val="none"/>
          <w:u w:val="single"/>
        </w:rPr>
        <w:t xml:space="preserve">        </w:t>
      </w:r>
      <w:r>
        <w:rPr>
          <w:sz w:val="24"/>
          <w:highlight w:val="none"/>
        </w:rPr>
        <w:t>）已收悉，现澄清、说明如下：</w:t>
      </w:r>
    </w:p>
    <w:p>
      <w:pPr>
        <w:spacing w:line="440" w:lineRule="atLeast"/>
        <w:rPr>
          <w:sz w:val="24"/>
          <w:highlight w:val="none"/>
        </w:rPr>
      </w:pPr>
      <w:r>
        <w:rPr>
          <w:sz w:val="24"/>
          <w:highlight w:val="none"/>
        </w:rPr>
        <w:t>　     1.</w:t>
      </w:r>
    </w:p>
    <w:p>
      <w:pPr>
        <w:spacing w:line="440" w:lineRule="atLeast"/>
        <w:rPr>
          <w:sz w:val="24"/>
          <w:highlight w:val="none"/>
        </w:rPr>
      </w:pPr>
      <w:r>
        <w:rPr>
          <w:sz w:val="24"/>
          <w:highlight w:val="none"/>
        </w:rPr>
        <w:t>　     2.</w:t>
      </w:r>
    </w:p>
    <w:p>
      <w:pPr>
        <w:spacing w:line="440" w:lineRule="atLeast"/>
        <w:rPr>
          <w:sz w:val="24"/>
          <w:highlight w:val="none"/>
        </w:rPr>
      </w:pPr>
      <w:r>
        <w:rPr>
          <w:sz w:val="24"/>
          <w:highlight w:val="none"/>
        </w:rPr>
        <w:t xml:space="preserve">　   </w:t>
      </w:r>
    </w:p>
    <w:p>
      <w:pPr>
        <w:spacing w:line="440" w:lineRule="atLeast"/>
        <w:rPr>
          <w:sz w:val="24"/>
          <w:highlight w:val="none"/>
        </w:rPr>
      </w:pPr>
      <w:r>
        <w:rPr>
          <w:sz w:val="24"/>
          <w:highlight w:val="none"/>
        </w:rPr>
        <w:t>　    .....</w:t>
      </w:r>
    </w:p>
    <w:p>
      <w:pPr>
        <w:spacing w:line="440" w:lineRule="atLeast"/>
        <w:rPr>
          <w:sz w:val="24"/>
          <w:highlight w:val="none"/>
        </w:rPr>
      </w:pPr>
      <w:r>
        <w:rPr>
          <w:sz w:val="24"/>
          <w:highlight w:val="none"/>
        </w:rPr>
        <w:t xml:space="preserve">                       </w:t>
      </w:r>
    </w:p>
    <w:p>
      <w:pPr>
        <w:spacing w:line="440" w:lineRule="atLeast"/>
        <w:rPr>
          <w:sz w:val="24"/>
          <w:highlight w:val="none"/>
        </w:rPr>
      </w:pPr>
      <w:r>
        <w:rPr>
          <w:sz w:val="24"/>
          <w:highlight w:val="none"/>
        </w:rPr>
        <w:t xml:space="preserve">　 </w:t>
      </w:r>
    </w:p>
    <w:p>
      <w:pPr>
        <w:spacing w:line="440" w:lineRule="atLeast"/>
        <w:rPr>
          <w:sz w:val="24"/>
          <w:highlight w:val="none"/>
        </w:rPr>
      </w:pPr>
    </w:p>
    <w:p>
      <w:pPr>
        <w:spacing w:line="440" w:lineRule="atLeast"/>
        <w:ind w:firstLine="480" w:firstLineChars="200"/>
        <w:rPr>
          <w:sz w:val="24"/>
          <w:highlight w:val="none"/>
        </w:rPr>
      </w:pPr>
      <w:r>
        <w:rPr>
          <w:sz w:val="24"/>
          <w:highlight w:val="none"/>
        </w:rPr>
        <w:t>上述问题澄清或说明，不改变我方投标文件的实质性内容，构成我方投标文件的组成部分。</w:t>
      </w:r>
    </w:p>
    <w:p>
      <w:pPr>
        <w:spacing w:line="440" w:lineRule="atLeast"/>
        <w:rPr>
          <w:sz w:val="24"/>
          <w:highlight w:val="none"/>
        </w:rPr>
      </w:pPr>
    </w:p>
    <w:p>
      <w:pPr>
        <w:spacing w:line="440" w:lineRule="atLeast"/>
        <w:rPr>
          <w:sz w:val="24"/>
          <w:highlight w:val="none"/>
        </w:rPr>
      </w:pPr>
    </w:p>
    <w:p>
      <w:pPr>
        <w:spacing w:line="440" w:lineRule="atLeast"/>
        <w:rPr>
          <w:sz w:val="24"/>
          <w:highlight w:val="none"/>
        </w:rPr>
      </w:pPr>
      <w:r>
        <w:rPr>
          <w:sz w:val="24"/>
          <w:highlight w:val="none"/>
        </w:rPr>
        <w:t>　　　　　　　　　　　　　　　投标人：</w:t>
      </w:r>
      <w:r>
        <w:rPr>
          <w:sz w:val="24"/>
          <w:highlight w:val="none"/>
          <w:u w:val="single"/>
        </w:rPr>
        <w:t xml:space="preserve">                      </w:t>
      </w:r>
      <w:r>
        <w:rPr>
          <w:sz w:val="24"/>
          <w:highlight w:val="none"/>
        </w:rPr>
        <w:t>（盖单位章）</w:t>
      </w:r>
      <w:r>
        <w:rPr>
          <w:sz w:val="24"/>
          <w:highlight w:val="none"/>
          <w:vertAlign w:val="superscript"/>
        </w:rPr>
        <w:footnoteReference w:id="10"/>
      </w:r>
    </w:p>
    <w:p>
      <w:pPr>
        <w:spacing w:line="440" w:lineRule="atLeast"/>
        <w:rPr>
          <w:sz w:val="24"/>
          <w:highlight w:val="none"/>
        </w:rPr>
      </w:pPr>
      <w:r>
        <w:rPr>
          <w:sz w:val="24"/>
          <w:highlight w:val="none"/>
        </w:rPr>
        <w:t>　　　　　　　　　　　　　　　法定代表人或其委托代理人：</w:t>
      </w:r>
      <w:r>
        <w:rPr>
          <w:sz w:val="24"/>
          <w:highlight w:val="none"/>
          <w:u w:val="single"/>
        </w:rPr>
        <w:t xml:space="preserve">          </w:t>
      </w:r>
      <w:r>
        <w:rPr>
          <w:sz w:val="24"/>
          <w:highlight w:val="none"/>
        </w:rPr>
        <w:t>（签字）</w:t>
      </w:r>
    </w:p>
    <w:p>
      <w:pPr>
        <w:spacing w:line="440" w:lineRule="atLeast"/>
        <w:rPr>
          <w:sz w:val="24"/>
          <w:highlight w:val="none"/>
        </w:rPr>
      </w:pPr>
      <w:r>
        <w:rPr>
          <w:sz w:val="24"/>
          <w:highlight w:val="none"/>
        </w:rPr>
        <w:t>　　　　　　　　　　　　　　　</w:t>
      </w:r>
    </w:p>
    <w:p>
      <w:pPr>
        <w:spacing w:line="440" w:lineRule="atLeast"/>
        <w:rPr>
          <w:sz w:val="24"/>
          <w:highlight w:val="none"/>
        </w:rPr>
      </w:pPr>
      <w:r>
        <w:rPr>
          <w:sz w:val="24"/>
          <w:highlight w:val="none"/>
        </w:rPr>
        <w:t xml:space="preserve">　　　　　　　　　　　　　　　           </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pStyle w:val="3"/>
        <w:spacing w:before="0" w:after="0" w:line="440" w:lineRule="atLeast"/>
        <w:rPr>
          <w:rFonts w:eastAsia="黑体"/>
          <w:b w:val="0"/>
          <w:sz w:val="24"/>
          <w:szCs w:val="24"/>
          <w:highlight w:val="none"/>
        </w:rPr>
      </w:pPr>
      <w:r>
        <w:rPr>
          <w:sz w:val="20"/>
          <w:szCs w:val="20"/>
          <w:highlight w:val="none"/>
        </w:rPr>
        <w:br w:type="page"/>
      </w:r>
      <w:bookmarkStart w:id="214" w:name="_Toc503235802"/>
      <w:bookmarkStart w:id="215" w:name="_Toc501257122"/>
      <w:bookmarkStart w:id="216" w:name="_Toc510015734"/>
      <w:r>
        <w:rPr>
          <w:rFonts w:eastAsia="黑体"/>
          <w:b w:val="0"/>
          <w:sz w:val="24"/>
          <w:szCs w:val="24"/>
          <w:highlight w:val="none"/>
        </w:rPr>
        <w:t>附件四 中标通知书</w:t>
      </w:r>
      <w:bookmarkEnd w:id="214"/>
      <w:bookmarkEnd w:id="215"/>
      <w:bookmarkEnd w:id="216"/>
    </w:p>
    <w:p>
      <w:pPr>
        <w:spacing w:line="440" w:lineRule="atLeast"/>
        <w:ind w:firstLine="3640" w:firstLineChars="1300"/>
        <w:rPr>
          <w:rFonts w:eastAsia="黑体"/>
          <w:sz w:val="28"/>
          <w:szCs w:val="28"/>
          <w:highlight w:val="none"/>
        </w:rPr>
      </w:pPr>
    </w:p>
    <w:p>
      <w:pPr>
        <w:spacing w:line="440" w:lineRule="atLeast"/>
        <w:ind w:firstLine="3640" w:firstLineChars="1300"/>
        <w:rPr>
          <w:rFonts w:eastAsia="黑体"/>
          <w:sz w:val="28"/>
          <w:szCs w:val="28"/>
          <w:highlight w:val="none"/>
        </w:rPr>
      </w:pPr>
      <w:r>
        <w:rPr>
          <w:rFonts w:eastAsia="黑体"/>
          <w:sz w:val="28"/>
          <w:szCs w:val="28"/>
          <w:highlight w:val="none"/>
        </w:rPr>
        <w:t xml:space="preserve">中标通知书 </w:t>
      </w:r>
    </w:p>
    <w:p>
      <w:pPr>
        <w:spacing w:line="440" w:lineRule="atLeast"/>
        <w:rPr>
          <w:rFonts w:eastAsia="黑体"/>
          <w:sz w:val="20"/>
          <w:szCs w:val="20"/>
          <w:highlight w:val="none"/>
        </w:rPr>
      </w:pPr>
      <w:r>
        <w:rPr>
          <w:rFonts w:eastAsia="黑体"/>
          <w:sz w:val="20"/>
          <w:szCs w:val="20"/>
          <w:highlight w:val="none"/>
        </w:rPr>
        <w:t xml:space="preserve">                              </w:t>
      </w:r>
    </w:p>
    <w:p>
      <w:pPr>
        <w:spacing w:line="440" w:lineRule="atLeast"/>
        <w:rPr>
          <w:sz w:val="24"/>
          <w:highlight w:val="none"/>
        </w:rPr>
      </w:pPr>
      <w:r>
        <w:rPr>
          <w:sz w:val="24"/>
          <w:highlight w:val="none"/>
        </w:rPr>
        <w:t xml:space="preserve"> </w:t>
      </w:r>
      <w:r>
        <w:rPr>
          <w:sz w:val="24"/>
          <w:highlight w:val="none"/>
          <w:u w:val="single"/>
        </w:rPr>
        <w:t xml:space="preserve">                   </w:t>
      </w:r>
      <w:r>
        <w:rPr>
          <w:sz w:val="24"/>
          <w:highlight w:val="none"/>
        </w:rPr>
        <w:t>（中标人名称）：</w:t>
      </w:r>
    </w:p>
    <w:p>
      <w:pPr>
        <w:spacing w:line="440" w:lineRule="atLeast"/>
        <w:rPr>
          <w:sz w:val="24"/>
          <w:highlight w:val="none"/>
        </w:rPr>
      </w:pPr>
    </w:p>
    <w:p>
      <w:pPr>
        <w:spacing w:line="440" w:lineRule="atLeast"/>
        <w:ind w:firstLine="480" w:firstLineChars="200"/>
        <w:rPr>
          <w:sz w:val="24"/>
          <w:highlight w:val="none"/>
        </w:rPr>
      </w:pPr>
      <w:r>
        <w:rPr>
          <w:sz w:val="24"/>
          <w:highlight w:val="none"/>
        </w:rPr>
        <w:t>你方于</w:t>
      </w:r>
      <w:r>
        <w:rPr>
          <w:sz w:val="24"/>
          <w:highlight w:val="none"/>
          <w:u w:val="single"/>
        </w:rPr>
        <w:t xml:space="preserve">         </w:t>
      </w:r>
      <w:r>
        <w:rPr>
          <w:sz w:val="24"/>
          <w:highlight w:val="none"/>
        </w:rPr>
        <w:t>（投标日期）所递交的</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标段咨询服务投标文件已被我方接受，被确定为中标人。</w:t>
      </w:r>
    </w:p>
    <w:p>
      <w:pPr>
        <w:spacing w:line="440" w:lineRule="atLeast"/>
        <w:ind w:firstLine="480" w:firstLineChars="200"/>
        <w:rPr>
          <w:sz w:val="24"/>
          <w:highlight w:val="none"/>
        </w:rPr>
      </w:pPr>
      <w:r>
        <w:rPr>
          <w:sz w:val="24"/>
          <w:highlight w:val="none"/>
        </w:rPr>
        <w:t>中标价：</w:t>
      </w:r>
      <w:r>
        <w:rPr>
          <w:sz w:val="24"/>
          <w:highlight w:val="none"/>
          <w:u w:val="single"/>
        </w:rPr>
        <w:t xml:space="preserve">                   </w:t>
      </w:r>
      <w:r>
        <w:rPr>
          <w:sz w:val="24"/>
          <w:highlight w:val="none"/>
        </w:rPr>
        <w:t>元。</w:t>
      </w:r>
    </w:p>
    <w:p>
      <w:pPr>
        <w:spacing w:line="440" w:lineRule="atLeast"/>
        <w:ind w:firstLine="480" w:firstLineChars="200"/>
        <w:rPr>
          <w:sz w:val="24"/>
          <w:highlight w:val="none"/>
        </w:rPr>
      </w:pPr>
      <w:r>
        <w:rPr>
          <w:sz w:val="24"/>
          <w:highlight w:val="none"/>
        </w:rPr>
        <w:t>咨询服务期限：</w:t>
      </w:r>
      <w:r>
        <w:rPr>
          <w:sz w:val="24"/>
          <w:highlight w:val="none"/>
          <w:u w:val="single"/>
        </w:rPr>
        <w:t xml:space="preserve">                  </w:t>
      </w:r>
      <w:r>
        <w:rPr>
          <w:sz w:val="24"/>
          <w:highlight w:val="none"/>
        </w:rPr>
        <w:t>日历天。</w:t>
      </w:r>
    </w:p>
    <w:p>
      <w:pPr>
        <w:spacing w:line="440" w:lineRule="atLeast"/>
        <w:ind w:firstLine="480" w:firstLineChars="200"/>
        <w:rPr>
          <w:sz w:val="24"/>
          <w:highlight w:val="none"/>
        </w:rPr>
      </w:pPr>
      <w:r>
        <w:rPr>
          <w:sz w:val="24"/>
          <w:highlight w:val="none"/>
        </w:rPr>
        <w:t>质量要求：</w:t>
      </w:r>
      <w:r>
        <w:rPr>
          <w:sz w:val="24"/>
          <w:highlight w:val="none"/>
          <w:u w:val="single"/>
        </w:rPr>
        <w:t xml:space="preserve">                      </w:t>
      </w:r>
      <w:r>
        <w:rPr>
          <w:sz w:val="24"/>
          <w:highlight w:val="none"/>
        </w:rPr>
        <w:t>。</w:t>
      </w:r>
    </w:p>
    <w:p>
      <w:pPr>
        <w:spacing w:line="440" w:lineRule="atLeast"/>
        <w:ind w:firstLine="480" w:firstLineChars="200"/>
        <w:rPr>
          <w:sz w:val="24"/>
          <w:highlight w:val="none"/>
        </w:rPr>
      </w:pPr>
      <w:r>
        <w:rPr>
          <w:sz w:val="24"/>
          <w:highlight w:val="none"/>
        </w:rPr>
        <w:t>安全目标：</w:t>
      </w:r>
      <w:r>
        <w:rPr>
          <w:sz w:val="24"/>
          <w:highlight w:val="none"/>
          <w:u w:val="single"/>
        </w:rPr>
        <w:t xml:space="preserve">                      </w:t>
      </w:r>
      <w:r>
        <w:rPr>
          <w:sz w:val="24"/>
          <w:highlight w:val="none"/>
        </w:rPr>
        <w:t>。</w:t>
      </w:r>
    </w:p>
    <w:p>
      <w:pPr>
        <w:spacing w:line="440" w:lineRule="exact"/>
        <w:ind w:firstLine="480" w:firstLineChars="200"/>
        <w:rPr>
          <w:sz w:val="24"/>
          <w:highlight w:val="none"/>
        </w:rPr>
      </w:pPr>
      <w:r>
        <w:rPr>
          <w:sz w:val="24"/>
          <w:highlight w:val="none"/>
        </w:rPr>
        <w:t>环保目标：</w:t>
      </w:r>
      <w:r>
        <w:rPr>
          <w:sz w:val="24"/>
          <w:highlight w:val="none"/>
          <w:u w:val="single"/>
        </w:rPr>
        <w:t xml:space="preserve">                      </w:t>
      </w:r>
      <w:r>
        <w:rPr>
          <w:sz w:val="24"/>
          <w:highlight w:val="none"/>
        </w:rPr>
        <w:t>。</w:t>
      </w:r>
    </w:p>
    <w:p>
      <w:pPr>
        <w:spacing w:line="440" w:lineRule="atLeast"/>
        <w:ind w:firstLine="480" w:firstLineChars="200"/>
        <w:rPr>
          <w:sz w:val="24"/>
          <w:highlight w:val="none"/>
        </w:rPr>
      </w:pPr>
      <w:r>
        <w:rPr>
          <w:sz w:val="24"/>
          <w:highlight w:val="none"/>
        </w:rPr>
        <w:t>项目负责人：</w:t>
      </w:r>
      <w:r>
        <w:rPr>
          <w:sz w:val="24"/>
          <w:highlight w:val="none"/>
          <w:u w:val="single"/>
        </w:rPr>
        <w:t xml:space="preserve">              </w:t>
      </w:r>
      <w:r>
        <w:rPr>
          <w:sz w:val="24"/>
          <w:highlight w:val="none"/>
        </w:rPr>
        <w:t>（姓名）。</w:t>
      </w:r>
    </w:p>
    <w:p>
      <w:pPr>
        <w:spacing w:line="440" w:lineRule="atLeast"/>
        <w:ind w:firstLine="480" w:firstLineChars="200"/>
        <w:rPr>
          <w:sz w:val="24"/>
          <w:highlight w:val="none"/>
        </w:rPr>
      </w:pPr>
      <w:r>
        <w:rPr>
          <w:sz w:val="24"/>
          <w:highlight w:val="none"/>
        </w:rPr>
        <w:t>请你方在接到本通知书后的</w:t>
      </w:r>
      <w:r>
        <w:rPr>
          <w:sz w:val="24"/>
          <w:highlight w:val="none"/>
          <w:u w:val="single"/>
        </w:rPr>
        <w:t xml:space="preserve">     </w:t>
      </w:r>
      <w:r>
        <w:rPr>
          <w:sz w:val="24"/>
          <w:highlight w:val="none"/>
        </w:rPr>
        <w:t>日内到</w:t>
      </w:r>
      <w:r>
        <w:rPr>
          <w:sz w:val="24"/>
          <w:highlight w:val="none"/>
          <w:u w:val="single"/>
        </w:rPr>
        <w:t xml:space="preserve">                      </w:t>
      </w:r>
      <w:r>
        <w:rPr>
          <w:sz w:val="24"/>
          <w:highlight w:val="none"/>
        </w:rPr>
        <w:t>（指定地点）与我方签订咨询服务合同，并按招标文件第二章“投标人须知”第7.7款规定向我方提交履约保证金。</w:t>
      </w:r>
    </w:p>
    <w:p>
      <w:pPr>
        <w:spacing w:line="440" w:lineRule="atLeast"/>
        <w:ind w:firstLine="480" w:firstLineChars="200"/>
        <w:rPr>
          <w:sz w:val="24"/>
          <w:highlight w:val="none"/>
        </w:rPr>
      </w:pPr>
      <w:r>
        <w:rPr>
          <w:sz w:val="24"/>
          <w:highlight w:val="none"/>
        </w:rPr>
        <w:t>特此通知。</w:t>
      </w:r>
    </w:p>
    <w:p>
      <w:pPr>
        <w:spacing w:line="440" w:lineRule="atLeast"/>
        <w:rPr>
          <w:sz w:val="24"/>
          <w:highlight w:val="none"/>
        </w:rPr>
      </w:pPr>
    </w:p>
    <w:p>
      <w:pPr>
        <w:spacing w:line="440" w:lineRule="atLeast"/>
        <w:rPr>
          <w:sz w:val="24"/>
          <w:highlight w:val="none"/>
        </w:rPr>
      </w:pPr>
    </w:p>
    <w:p>
      <w:pPr>
        <w:spacing w:line="440" w:lineRule="atLeast"/>
        <w:ind w:firstLine="3700" w:firstLineChars="1542"/>
        <w:rPr>
          <w:sz w:val="24"/>
          <w:highlight w:val="none"/>
        </w:rPr>
      </w:pPr>
      <w:r>
        <w:rPr>
          <w:sz w:val="24"/>
          <w:highlight w:val="none"/>
        </w:rPr>
        <w:t>招标人：</w:t>
      </w:r>
      <w:r>
        <w:rPr>
          <w:sz w:val="24"/>
          <w:highlight w:val="none"/>
          <w:u w:val="single"/>
        </w:rPr>
        <w:t xml:space="preserve">                      </w:t>
      </w:r>
      <w:r>
        <w:rPr>
          <w:sz w:val="24"/>
          <w:highlight w:val="none"/>
        </w:rPr>
        <w:t xml:space="preserve">（盖单位章）            </w:t>
      </w:r>
    </w:p>
    <w:p>
      <w:pPr>
        <w:spacing w:line="440" w:lineRule="atLeast"/>
        <w:ind w:firstLine="3700" w:firstLineChars="1542"/>
        <w:rPr>
          <w:sz w:val="24"/>
          <w:highlight w:val="none"/>
        </w:rPr>
      </w:pPr>
      <w:r>
        <w:rPr>
          <w:sz w:val="24"/>
          <w:highlight w:val="none"/>
        </w:rPr>
        <w:t>招标代理机构：</w:t>
      </w:r>
      <w:r>
        <w:rPr>
          <w:sz w:val="24"/>
          <w:highlight w:val="none"/>
          <w:u w:val="single"/>
        </w:rPr>
        <w:t xml:space="preserve">                </w:t>
      </w:r>
      <w:r>
        <w:rPr>
          <w:sz w:val="24"/>
          <w:highlight w:val="none"/>
        </w:rPr>
        <w:t>（盖单位章）</w:t>
      </w:r>
    </w:p>
    <w:p>
      <w:pPr>
        <w:spacing w:line="440" w:lineRule="atLeast"/>
        <w:ind w:firstLine="4776" w:firstLineChars="1990"/>
        <w:rPr>
          <w:sz w:val="24"/>
          <w:highlight w:val="none"/>
        </w:rPr>
      </w:pP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spacing w:line="440" w:lineRule="atLeast"/>
        <w:rPr>
          <w:rFonts w:eastAsia="黑体"/>
          <w:sz w:val="24"/>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pStyle w:val="3"/>
        <w:spacing w:before="0" w:after="0" w:line="440" w:lineRule="atLeast"/>
        <w:rPr>
          <w:rFonts w:eastAsia="黑体"/>
          <w:b w:val="0"/>
          <w:sz w:val="24"/>
          <w:szCs w:val="24"/>
          <w:highlight w:val="none"/>
        </w:rPr>
      </w:pPr>
      <w:bookmarkStart w:id="217" w:name="_Toc510015735"/>
      <w:bookmarkStart w:id="218" w:name="_Toc503235803"/>
      <w:bookmarkStart w:id="219" w:name="_Toc501257123"/>
    </w:p>
    <w:p>
      <w:pPr>
        <w:pStyle w:val="3"/>
        <w:spacing w:before="0" w:after="0" w:line="440" w:lineRule="atLeast"/>
        <w:rPr>
          <w:rFonts w:eastAsia="黑体"/>
          <w:b w:val="0"/>
          <w:sz w:val="24"/>
          <w:szCs w:val="24"/>
          <w:highlight w:val="none"/>
        </w:rPr>
      </w:pPr>
      <w:r>
        <w:rPr>
          <w:rFonts w:eastAsia="黑体"/>
          <w:b w:val="0"/>
          <w:sz w:val="24"/>
          <w:szCs w:val="24"/>
          <w:highlight w:val="none"/>
        </w:rPr>
        <w:t>附件五 中标结果通知书</w:t>
      </w:r>
      <w:bookmarkEnd w:id="217"/>
      <w:bookmarkEnd w:id="218"/>
      <w:bookmarkEnd w:id="219"/>
    </w:p>
    <w:p>
      <w:pPr>
        <w:spacing w:line="440" w:lineRule="atLeast"/>
        <w:jc w:val="center"/>
        <w:rPr>
          <w:rFonts w:eastAsia="黑体"/>
          <w:sz w:val="28"/>
          <w:szCs w:val="28"/>
          <w:highlight w:val="none"/>
        </w:rPr>
      </w:pPr>
      <w:r>
        <w:rPr>
          <w:rFonts w:eastAsia="黑体"/>
          <w:sz w:val="28"/>
          <w:szCs w:val="28"/>
          <w:highlight w:val="none"/>
        </w:rPr>
        <w:t>中标结果通知书</w:t>
      </w:r>
    </w:p>
    <w:p>
      <w:pPr>
        <w:spacing w:line="440" w:lineRule="atLeast"/>
        <w:rPr>
          <w:sz w:val="20"/>
          <w:szCs w:val="20"/>
          <w:highlight w:val="none"/>
        </w:rPr>
      </w:pPr>
    </w:p>
    <w:p>
      <w:pPr>
        <w:spacing w:line="440" w:lineRule="atLeast"/>
        <w:rPr>
          <w:sz w:val="24"/>
          <w:highlight w:val="none"/>
        </w:rPr>
      </w:pPr>
      <w:r>
        <w:rPr>
          <w:sz w:val="24"/>
          <w:highlight w:val="none"/>
        </w:rPr>
        <w:t xml:space="preserve"> </w:t>
      </w:r>
      <w:r>
        <w:rPr>
          <w:sz w:val="24"/>
          <w:highlight w:val="none"/>
          <w:u w:val="single"/>
        </w:rPr>
        <w:t xml:space="preserve">                  </w:t>
      </w:r>
      <w:r>
        <w:rPr>
          <w:sz w:val="24"/>
          <w:highlight w:val="none"/>
        </w:rPr>
        <w:t>（未中标人名称）：</w:t>
      </w:r>
    </w:p>
    <w:p>
      <w:pPr>
        <w:spacing w:line="440" w:lineRule="atLeast"/>
        <w:rPr>
          <w:sz w:val="24"/>
          <w:highlight w:val="none"/>
        </w:rPr>
      </w:pPr>
      <w:r>
        <w:rPr>
          <w:sz w:val="24"/>
          <w:highlight w:val="none"/>
        </w:rPr>
        <w:t xml:space="preserve">    </w:t>
      </w:r>
    </w:p>
    <w:p>
      <w:pPr>
        <w:spacing w:line="440" w:lineRule="atLeast"/>
        <w:rPr>
          <w:sz w:val="24"/>
          <w:highlight w:val="none"/>
        </w:rPr>
      </w:pPr>
      <w:r>
        <w:rPr>
          <w:sz w:val="24"/>
          <w:highlight w:val="none"/>
        </w:rPr>
        <w:t>　　我方已接受</w:t>
      </w:r>
      <w:r>
        <w:rPr>
          <w:sz w:val="24"/>
          <w:highlight w:val="none"/>
          <w:u w:val="single"/>
        </w:rPr>
        <w:t xml:space="preserve">                  </w:t>
      </w:r>
      <w:r>
        <w:rPr>
          <w:sz w:val="24"/>
          <w:highlight w:val="none"/>
        </w:rPr>
        <w:t xml:space="preserve"> （中标人名称）于</w:t>
      </w:r>
      <w:r>
        <w:rPr>
          <w:sz w:val="24"/>
          <w:highlight w:val="none"/>
          <w:u w:val="single"/>
        </w:rPr>
        <w:t xml:space="preserve">          </w:t>
      </w:r>
      <w:r>
        <w:rPr>
          <w:sz w:val="24"/>
          <w:highlight w:val="none"/>
        </w:rPr>
        <w:t>（投标日期）所递交的</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标段咨询服务投标文件，确定</w:t>
      </w:r>
      <w:r>
        <w:rPr>
          <w:sz w:val="24"/>
          <w:highlight w:val="none"/>
          <w:u w:val="single"/>
        </w:rPr>
        <w:t xml:space="preserve">            </w:t>
      </w:r>
      <w:r>
        <w:rPr>
          <w:sz w:val="24"/>
          <w:highlight w:val="none"/>
        </w:rPr>
        <w:t xml:space="preserve"> （中标人名称）为中标人。</w:t>
      </w:r>
    </w:p>
    <w:p>
      <w:pPr>
        <w:spacing w:line="440" w:lineRule="atLeast"/>
        <w:rPr>
          <w:sz w:val="24"/>
          <w:highlight w:val="none"/>
        </w:rPr>
      </w:pPr>
      <w:r>
        <w:rPr>
          <w:sz w:val="24"/>
          <w:highlight w:val="none"/>
        </w:rPr>
        <w:t>　　</w:t>
      </w:r>
    </w:p>
    <w:p>
      <w:pPr>
        <w:spacing w:line="440" w:lineRule="atLeast"/>
        <w:rPr>
          <w:sz w:val="24"/>
          <w:highlight w:val="none"/>
        </w:rPr>
      </w:pPr>
      <w:r>
        <w:rPr>
          <w:sz w:val="24"/>
          <w:highlight w:val="none"/>
        </w:rPr>
        <w:t>　　感谢你单位对招标项目的参与！</w:t>
      </w:r>
    </w:p>
    <w:p>
      <w:pPr>
        <w:spacing w:line="440" w:lineRule="atLeast"/>
        <w:rPr>
          <w:sz w:val="24"/>
          <w:highlight w:val="none"/>
        </w:rPr>
      </w:pPr>
    </w:p>
    <w:p>
      <w:pPr>
        <w:spacing w:line="440" w:lineRule="atLeast"/>
        <w:rPr>
          <w:sz w:val="24"/>
          <w:highlight w:val="none"/>
        </w:rPr>
      </w:pPr>
    </w:p>
    <w:p>
      <w:pPr>
        <w:spacing w:line="440" w:lineRule="atLeast"/>
        <w:rPr>
          <w:sz w:val="24"/>
          <w:highlight w:val="none"/>
        </w:rPr>
      </w:pPr>
    </w:p>
    <w:p>
      <w:pPr>
        <w:spacing w:line="440" w:lineRule="atLeast"/>
        <w:ind w:firstLine="3700" w:firstLineChars="1542"/>
        <w:rPr>
          <w:sz w:val="24"/>
          <w:highlight w:val="none"/>
        </w:rPr>
      </w:pPr>
      <w:r>
        <w:rPr>
          <w:sz w:val="24"/>
          <w:highlight w:val="none"/>
        </w:rPr>
        <w:t>招标人：</w:t>
      </w:r>
      <w:r>
        <w:rPr>
          <w:sz w:val="24"/>
          <w:highlight w:val="none"/>
          <w:u w:val="single"/>
        </w:rPr>
        <w:t xml:space="preserve">                      </w:t>
      </w:r>
      <w:r>
        <w:rPr>
          <w:sz w:val="24"/>
          <w:highlight w:val="none"/>
        </w:rPr>
        <w:t xml:space="preserve">（盖单位章）            </w:t>
      </w:r>
    </w:p>
    <w:p>
      <w:pPr>
        <w:spacing w:line="440" w:lineRule="atLeast"/>
        <w:ind w:firstLine="3700" w:firstLineChars="1542"/>
        <w:rPr>
          <w:sz w:val="24"/>
          <w:highlight w:val="none"/>
        </w:rPr>
      </w:pPr>
      <w:r>
        <w:rPr>
          <w:sz w:val="24"/>
          <w:highlight w:val="none"/>
        </w:rPr>
        <w:t>招标代理机构：</w:t>
      </w:r>
      <w:r>
        <w:rPr>
          <w:sz w:val="24"/>
          <w:highlight w:val="none"/>
          <w:u w:val="single"/>
        </w:rPr>
        <w:t xml:space="preserve">                </w:t>
      </w:r>
      <w:r>
        <w:rPr>
          <w:sz w:val="24"/>
          <w:highlight w:val="none"/>
        </w:rPr>
        <w:t>（盖单位章）</w:t>
      </w:r>
    </w:p>
    <w:p>
      <w:pPr>
        <w:spacing w:line="440" w:lineRule="atLeast"/>
        <w:ind w:firstLine="5040" w:firstLineChars="2100"/>
        <w:rPr>
          <w:sz w:val="24"/>
          <w:highlight w:val="none"/>
        </w:rPr>
      </w:pP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spacing w:line="440" w:lineRule="atLeast"/>
        <w:rPr>
          <w:sz w:val="24"/>
          <w:highlight w:val="none"/>
        </w:rPr>
      </w:pPr>
    </w:p>
    <w:p>
      <w:pPr>
        <w:spacing w:line="440" w:lineRule="atLeast"/>
        <w:rPr>
          <w:sz w:val="24"/>
          <w:highlight w:val="none"/>
        </w:rPr>
      </w:pPr>
    </w:p>
    <w:p>
      <w:pPr>
        <w:spacing w:line="440" w:lineRule="atLeast"/>
        <w:rPr>
          <w:sz w:val="24"/>
          <w:highlight w:val="none"/>
        </w:rPr>
      </w:pPr>
    </w:p>
    <w:p>
      <w:pPr>
        <w:spacing w:line="440" w:lineRule="atLeast"/>
        <w:rPr>
          <w:sz w:val="24"/>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spacing w:line="440" w:lineRule="atLeast"/>
        <w:rPr>
          <w:sz w:val="20"/>
          <w:szCs w:val="20"/>
          <w:highlight w:val="none"/>
        </w:rPr>
      </w:pPr>
    </w:p>
    <w:p>
      <w:pPr>
        <w:pStyle w:val="3"/>
        <w:spacing w:before="0" w:after="0" w:line="440" w:lineRule="atLeast"/>
        <w:rPr>
          <w:rFonts w:eastAsia="黑体"/>
          <w:b w:val="0"/>
          <w:sz w:val="24"/>
          <w:szCs w:val="24"/>
          <w:highlight w:val="none"/>
        </w:rPr>
      </w:pPr>
      <w:r>
        <w:rPr>
          <w:rFonts w:eastAsia="黑体"/>
          <w:sz w:val="20"/>
          <w:szCs w:val="20"/>
          <w:highlight w:val="none"/>
        </w:rPr>
        <w:br w:type="page"/>
      </w:r>
      <w:bookmarkStart w:id="220" w:name="_Toc503235804"/>
      <w:bookmarkStart w:id="221" w:name="_Toc501257124"/>
      <w:bookmarkStart w:id="222" w:name="_Toc510015736"/>
      <w:r>
        <w:rPr>
          <w:rFonts w:eastAsia="黑体"/>
          <w:b w:val="0"/>
          <w:sz w:val="24"/>
          <w:szCs w:val="24"/>
          <w:highlight w:val="none"/>
        </w:rPr>
        <w:t>附件六 确认通知</w:t>
      </w:r>
      <w:bookmarkEnd w:id="220"/>
      <w:bookmarkEnd w:id="221"/>
      <w:bookmarkEnd w:id="222"/>
    </w:p>
    <w:p>
      <w:pPr>
        <w:spacing w:line="440" w:lineRule="atLeast"/>
        <w:jc w:val="center"/>
        <w:rPr>
          <w:rFonts w:eastAsia="黑体"/>
          <w:sz w:val="28"/>
          <w:szCs w:val="28"/>
          <w:highlight w:val="none"/>
        </w:rPr>
      </w:pPr>
      <w:r>
        <w:rPr>
          <w:rFonts w:eastAsia="黑体"/>
          <w:sz w:val="28"/>
          <w:szCs w:val="28"/>
          <w:highlight w:val="none"/>
        </w:rPr>
        <w:t>确 认 通 知</w:t>
      </w:r>
    </w:p>
    <w:p>
      <w:pPr>
        <w:spacing w:line="440" w:lineRule="atLeast"/>
        <w:rPr>
          <w:sz w:val="20"/>
          <w:szCs w:val="20"/>
          <w:highlight w:val="none"/>
        </w:rPr>
      </w:pPr>
    </w:p>
    <w:p>
      <w:pPr>
        <w:spacing w:line="440" w:lineRule="atLeast"/>
        <w:rPr>
          <w:sz w:val="24"/>
          <w:highlight w:val="none"/>
        </w:rPr>
      </w:pPr>
      <w:r>
        <w:rPr>
          <w:sz w:val="24"/>
          <w:highlight w:val="none"/>
          <w:u w:val="single"/>
        </w:rPr>
        <w:t xml:space="preserve">            </w:t>
      </w:r>
      <w:r>
        <w:rPr>
          <w:sz w:val="24"/>
          <w:highlight w:val="none"/>
        </w:rPr>
        <w:t>（招标人名称）：</w:t>
      </w:r>
    </w:p>
    <w:p>
      <w:pPr>
        <w:spacing w:line="440" w:lineRule="atLeast"/>
        <w:rPr>
          <w:sz w:val="24"/>
          <w:highlight w:val="none"/>
        </w:rPr>
      </w:pPr>
      <w:r>
        <w:rPr>
          <w:sz w:val="24"/>
          <w:highlight w:val="none"/>
        </w:rPr>
        <w:t>　　</w:t>
      </w:r>
    </w:p>
    <w:p>
      <w:pPr>
        <w:spacing w:line="440" w:lineRule="atLeast"/>
        <w:rPr>
          <w:sz w:val="24"/>
          <w:highlight w:val="none"/>
        </w:rPr>
      </w:pPr>
      <w:r>
        <w:rPr>
          <w:sz w:val="24"/>
          <w:highlight w:val="none"/>
        </w:rPr>
        <w:t>　　你方于</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日发出的</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标段咨询服务招标关于招标文件澄清/修改的通知（第</w:t>
      </w:r>
      <w:r>
        <w:rPr>
          <w:sz w:val="24"/>
          <w:highlight w:val="none"/>
          <w:u w:val="single"/>
        </w:rPr>
        <w:t xml:space="preserve">    </w:t>
      </w:r>
      <w:r>
        <w:rPr>
          <w:sz w:val="24"/>
          <w:highlight w:val="none"/>
        </w:rPr>
        <w:t>号补遗书，正文共</w:t>
      </w:r>
      <w:r>
        <w:rPr>
          <w:sz w:val="24"/>
          <w:highlight w:val="none"/>
          <w:u w:val="single"/>
        </w:rPr>
        <w:t xml:space="preserve">    </w:t>
      </w:r>
      <w:r>
        <w:rPr>
          <w:sz w:val="24"/>
          <w:highlight w:val="none"/>
        </w:rPr>
        <w:t>页），我方已于</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日收到。</w:t>
      </w:r>
    </w:p>
    <w:p>
      <w:pPr>
        <w:spacing w:line="440" w:lineRule="atLeast"/>
        <w:rPr>
          <w:sz w:val="24"/>
          <w:highlight w:val="none"/>
        </w:rPr>
      </w:pPr>
      <w:r>
        <w:rPr>
          <w:sz w:val="24"/>
          <w:highlight w:val="none"/>
        </w:rPr>
        <w:t>　　特此确认。</w:t>
      </w:r>
    </w:p>
    <w:p>
      <w:pPr>
        <w:spacing w:line="440" w:lineRule="atLeast"/>
        <w:rPr>
          <w:sz w:val="24"/>
          <w:highlight w:val="none"/>
        </w:rPr>
      </w:pPr>
    </w:p>
    <w:p>
      <w:pPr>
        <w:spacing w:line="440" w:lineRule="atLeast"/>
        <w:rPr>
          <w:sz w:val="24"/>
          <w:highlight w:val="none"/>
        </w:rPr>
      </w:pPr>
    </w:p>
    <w:p>
      <w:pPr>
        <w:spacing w:line="440" w:lineRule="atLeast"/>
        <w:rPr>
          <w:sz w:val="24"/>
          <w:highlight w:val="none"/>
        </w:rPr>
      </w:pPr>
    </w:p>
    <w:p>
      <w:pPr>
        <w:spacing w:line="440" w:lineRule="atLeast"/>
        <w:rPr>
          <w:sz w:val="24"/>
          <w:highlight w:val="none"/>
        </w:rPr>
      </w:pPr>
      <w:r>
        <w:rPr>
          <w:sz w:val="24"/>
          <w:highlight w:val="none"/>
        </w:rPr>
        <w:t xml:space="preserve">                              投标人：</w:t>
      </w:r>
      <w:r>
        <w:rPr>
          <w:sz w:val="24"/>
          <w:highlight w:val="none"/>
          <w:u w:val="single"/>
        </w:rPr>
        <w:t xml:space="preserve">                      </w:t>
      </w:r>
      <w:r>
        <w:rPr>
          <w:sz w:val="24"/>
          <w:highlight w:val="none"/>
        </w:rPr>
        <w:t>（盖单位章）</w:t>
      </w:r>
    </w:p>
    <w:p>
      <w:pPr>
        <w:spacing w:line="440" w:lineRule="atLeast"/>
        <w:rPr>
          <w:sz w:val="24"/>
          <w:highlight w:val="none"/>
        </w:rPr>
      </w:pPr>
    </w:p>
    <w:p>
      <w:pPr>
        <w:spacing w:line="440" w:lineRule="atLeast"/>
        <w:rPr>
          <w:sz w:val="24"/>
          <w:highlight w:val="none"/>
        </w:rPr>
      </w:pPr>
      <w:r>
        <w:rPr>
          <w:sz w:val="24"/>
          <w:highlight w:val="none"/>
        </w:rPr>
        <w:t xml:space="preserve">                                      </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spacing w:line="360" w:lineRule="auto"/>
        <w:ind w:firstLine="5180" w:firstLineChars="1850"/>
        <w:rPr>
          <w:rFonts w:ascii="黑体" w:hAnsi="宋体" w:eastAsia="黑体"/>
          <w:sz w:val="28"/>
          <w:szCs w:val="28"/>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widowControl/>
        <w:jc w:val="center"/>
        <w:rPr>
          <w:position w:val="0"/>
          <w:sz w:val="24"/>
          <w:szCs w:val="24"/>
          <w:highlight w:val="none"/>
        </w:rPr>
      </w:pPr>
    </w:p>
    <w:p>
      <w:pPr>
        <w:ind w:firstLine="1681" w:firstLineChars="200"/>
        <w:jc w:val="center"/>
        <w:rPr>
          <w:rFonts w:eastAsia="隶书"/>
          <w:b/>
          <w:bCs/>
          <w:position w:val="0"/>
          <w:sz w:val="84"/>
          <w:highlight w:val="none"/>
        </w:rPr>
      </w:pPr>
      <w:r>
        <w:rPr>
          <w:rFonts w:eastAsia="隶书"/>
          <w:b/>
          <w:bCs/>
          <w:position w:val="0"/>
          <w:sz w:val="84"/>
          <w:highlight w:val="none"/>
        </w:rPr>
        <w:br w:type="page"/>
      </w:r>
    </w:p>
    <w:p>
      <w:pPr>
        <w:ind w:firstLine="1681" w:firstLineChars="200"/>
        <w:jc w:val="center"/>
        <w:rPr>
          <w:rFonts w:eastAsia="隶书"/>
          <w:b/>
          <w:bCs/>
          <w:position w:val="0"/>
          <w:sz w:val="84"/>
          <w:highlight w:val="none"/>
        </w:rPr>
      </w:pPr>
    </w:p>
    <w:p>
      <w:pPr>
        <w:ind w:firstLine="1681" w:firstLineChars="200"/>
        <w:jc w:val="center"/>
        <w:rPr>
          <w:rFonts w:eastAsia="隶书"/>
          <w:b/>
          <w:bCs/>
          <w:position w:val="0"/>
          <w:sz w:val="84"/>
          <w:highlight w:val="none"/>
        </w:rPr>
      </w:pPr>
    </w:p>
    <w:p>
      <w:pPr>
        <w:pStyle w:val="3"/>
        <w:keepLines/>
        <w:spacing w:line="360" w:lineRule="auto"/>
        <w:jc w:val="center"/>
        <w:rPr>
          <w:rFonts w:ascii="黑体" w:eastAsia="黑体"/>
          <w:b w:val="0"/>
          <w:bCs/>
          <w:kern w:val="44"/>
          <w:position w:val="0"/>
          <w:sz w:val="44"/>
          <w:szCs w:val="44"/>
          <w:highlight w:val="none"/>
        </w:rPr>
      </w:pPr>
      <w:bookmarkStart w:id="223" w:name="_Toc241635441"/>
      <w:bookmarkStart w:id="224" w:name="_Toc12868"/>
      <w:r>
        <w:rPr>
          <w:rFonts w:hint="eastAsia" w:ascii="黑体" w:eastAsia="黑体"/>
          <w:b w:val="0"/>
          <w:bCs/>
          <w:kern w:val="44"/>
          <w:position w:val="0"/>
          <w:sz w:val="44"/>
          <w:szCs w:val="44"/>
          <w:highlight w:val="none"/>
        </w:rPr>
        <w:t>第三章  评标办法</w:t>
      </w:r>
      <w:bookmarkEnd w:id="223"/>
      <w:r>
        <w:rPr>
          <w:rFonts w:hint="eastAsia" w:ascii="黑体" w:eastAsia="黑体"/>
          <w:b w:val="0"/>
          <w:bCs/>
          <w:kern w:val="44"/>
          <w:position w:val="0"/>
          <w:sz w:val="44"/>
          <w:szCs w:val="44"/>
          <w:highlight w:val="none"/>
        </w:rPr>
        <w:t>（综合评</w:t>
      </w:r>
      <w:r>
        <w:rPr>
          <w:rFonts w:hint="eastAsia" w:ascii="黑体" w:eastAsia="黑体"/>
          <w:b w:val="0"/>
          <w:bCs/>
          <w:kern w:val="44"/>
          <w:position w:val="0"/>
          <w:sz w:val="44"/>
          <w:szCs w:val="44"/>
          <w:highlight w:val="none"/>
          <w:lang w:val="en-US" w:eastAsia="zh-CN"/>
        </w:rPr>
        <w:t>估</w:t>
      </w:r>
      <w:r>
        <w:rPr>
          <w:rFonts w:hint="eastAsia" w:ascii="黑体" w:eastAsia="黑体"/>
          <w:b w:val="0"/>
          <w:bCs/>
          <w:kern w:val="44"/>
          <w:position w:val="0"/>
          <w:sz w:val="44"/>
          <w:szCs w:val="44"/>
          <w:highlight w:val="none"/>
        </w:rPr>
        <w:t>法）</w:t>
      </w:r>
      <w:bookmarkEnd w:id="224"/>
    </w:p>
    <w:p>
      <w:pPr>
        <w:ind w:firstLine="480" w:firstLineChars="200"/>
        <w:rPr>
          <w:position w:val="0"/>
          <w:sz w:val="24"/>
          <w:highlight w:val="none"/>
        </w:rPr>
      </w:pPr>
    </w:p>
    <w:p>
      <w:pPr>
        <w:ind w:firstLine="480" w:firstLineChars="200"/>
        <w:rPr>
          <w:position w:val="0"/>
          <w:sz w:val="24"/>
          <w:highlight w:val="none"/>
        </w:rPr>
      </w:pPr>
    </w:p>
    <w:p>
      <w:pPr>
        <w:ind w:firstLine="480" w:firstLineChars="200"/>
        <w:rPr>
          <w:position w:val="0"/>
          <w:sz w:val="24"/>
          <w:highlight w:val="none"/>
        </w:rPr>
      </w:pPr>
    </w:p>
    <w:p>
      <w:pPr>
        <w:ind w:firstLine="480" w:firstLineChars="200"/>
        <w:rPr>
          <w:position w:val="0"/>
          <w:sz w:val="24"/>
          <w:highlight w:val="none"/>
        </w:rPr>
      </w:pPr>
    </w:p>
    <w:p>
      <w:pPr>
        <w:spacing w:line="400" w:lineRule="exact"/>
        <w:jc w:val="center"/>
        <w:rPr>
          <w:sz w:val="44"/>
          <w:highlight w:val="none"/>
        </w:rPr>
      </w:pPr>
      <w:r>
        <w:rPr>
          <w:b/>
          <w:bCs/>
          <w:position w:val="0"/>
          <w:sz w:val="30"/>
          <w:highlight w:val="none"/>
        </w:rPr>
        <w:br w:type="page"/>
      </w:r>
    </w:p>
    <w:p>
      <w:pPr>
        <w:pStyle w:val="11"/>
        <w:ind w:left="283"/>
        <w:rPr>
          <w:b/>
          <w:sz w:val="14"/>
          <w:highlight w:val="none"/>
        </w:rPr>
      </w:pPr>
      <w:bookmarkStart w:id="225" w:name="评标办法前附表_"/>
      <w:bookmarkEnd w:id="225"/>
      <w:r>
        <w:rPr>
          <w:rFonts w:hint="eastAsia" w:ascii="黑体" w:hAnsi="黑体" w:eastAsia="黑体"/>
          <w:highlight w:val="none"/>
        </w:rPr>
        <w:t>评标办法前附表</w:t>
      </w:r>
    </w:p>
    <w:p>
      <w:pPr>
        <w:pStyle w:val="11"/>
        <w:spacing w:before="9" w:after="1"/>
        <w:rPr>
          <w:b/>
          <w:sz w:val="19"/>
          <w:highlight w:val="none"/>
        </w:rPr>
      </w:pPr>
    </w:p>
    <w:tbl>
      <w:tblPr>
        <w:tblStyle w:val="38"/>
        <w:tblW w:w="8891" w:type="dxa"/>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00" w:hRule="atLeast"/>
        </w:trPr>
        <w:tc>
          <w:tcPr>
            <w:tcW w:w="2269" w:type="dxa"/>
            <w:gridSpan w:val="2"/>
            <w:vAlign w:val="center"/>
          </w:tcPr>
          <w:p>
            <w:pPr>
              <w:jc w:val="center"/>
              <w:rPr>
                <w:b/>
                <w:bCs/>
                <w:highlight w:val="none"/>
              </w:rPr>
            </w:pPr>
            <w:r>
              <w:rPr>
                <w:b/>
                <w:bCs/>
                <w:highlight w:val="none"/>
              </w:rPr>
              <w:t>条款号</w:t>
            </w:r>
          </w:p>
        </w:tc>
        <w:tc>
          <w:tcPr>
            <w:tcW w:w="6622" w:type="dxa"/>
            <w:vAlign w:val="center"/>
          </w:tcPr>
          <w:p>
            <w:pPr>
              <w:jc w:val="center"/>
              <w:rPr>
                <w:b/>
                <w:bCs/>
                <w:highlight w:val="none"/>
              </w:rPr>
            </w:pPr>
            <w:r>
              <w:rPr>
                <w:b/>
                <w:bCs/>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7" w:hRule="atLeast"/>
        </w:trPr>
        <w:tc>
          <w:tcPr>
            <w:tcW w:w="989" w:type="dxa"/>
            <w:tcMar>
              <w:top w:w="57" w:type="dxa"/>
              <w:left w:w="57" w:type="dxa"/>
              <w:bottom w:w="57" w:type="dxa"/>
              <w:right w:w="57" w:type="dxa"/>
            </w:tcMar>
            <w:vAlign w:val="center"/>
          </w:tcPr>
          <w:p>
            <w:pPr>
              <w:spacing w:line="360" w:lineRule="auto"/>
              <w:jc w:val="center"/>
              <w:rPr>
                <w:highlight w:val="none"/>
              </w:rPr>
            </w:pPr>
            <w:r>
              <w:rPr>
                <w:highlight w:val="none"/>
              </w:rPr>
              <w:t>1</w:t>
            </w:r>
          </w:p>
        </w:tc>
        <w:tc>
          <w:tcPr>
            <w:tcW w:w="1280" w:type="dxa"/>
            <w:tcMar>
              <w:top w:w="57" w:type="dxa"/>
              <w:left w:w="57" w:type="dxa"/>
              <w:bottom w:w="57" w:type="dxa"/>
              <w:right w:w="57" w:type="dxa"/>
            </w:tcMar>
            <w:vAlign w:val="center"/>
          </w:tcPr>
          <w:p>
            <w:pPr>
              <w:spacing w:line="360" w:lineRule="auto"/>
              <w:jc w:val="center"/>
              <w:rPr>
                <w:highlight w:val="none"/>
              </w:rPr>
            </w:pPr>
            <w:r>
              <w:rPr>
                <w:highlight w:val="none"/>
              </w:rPr>
              <w:t>评标方法</w:t>
            </w:r>
          </w:p>
        </w:tc>
        <w:tc>
          <w:tcPr>
            <w:tcW w:w="6622" w:type="dxa"/>
            <w:tcMar>
              <w:top w:w="57" w:type="dxa"/>
              <w:left w:w="57" w:type="dxa"/>
              <w:bottom w:w="57" w:type="dxa"/>
              <w:right w:w="57" w:type="dxa"/>
            </w:tcMar>
            <w:vAlign w:val="center"/>
          </w:tcPr>
          <w:p>
            <w:pPr>
              <w:spacing w:line="360" w:lineRule="auto"/>
              <w:jc w:val="left"/>
              <w:rPr>
                <w:highlight w:val="none"/>
              </w:rPr>
            </w:pPr>
            <w:r>
              <w:rPr>
                <w:highlight w:val="none"/>
              </w:rPr>
              <w:t>综合评分相等时，评标委员会依次按照以下优先顺序推荐中标候选 人或确定中标人：</w:t>
            </w:r>
          </w:p>
          <w:p>
            <w:pPr>
              <w:spacing w:line="360" w:lineRule="auto"/>
              <w:ind w:firstLine="210" w:firstLineChars="100"/>
              <w:jc w:val="left"/>
              <w:rPr>
                <w:highlight w:val="none"/>
              </w:rPr>
            </w:pPr>
            <w:r>
              <w:rPr>
                <w:highlight w:val="none"/>
              </w:rPr>
              <w:t>评标价低的投标人优先；</w:t>
            </w:r>
          </w:p>
          <w:p>
            <w:pPr>
              <w:spacing w:line="360" w:lineRule="auto"/>
              <w:ind w:firstLine="210" w:firstLineChars="100"/>
              <w:jc w:val="left"/>
              <w:rPr>
                <w:highlight w:val="none"/>
              </w:rPr>
            </w:pPr>
            <w:r>
              <w:rPr>
                <w:highlight w:val="none"/>
              </w:rPr>
              <w:t>商务和技术得分较高的投标人优先；</w:t>
            </w:r>
          </w:p>
          <w:p>
            <w:pPr>
              <w:spacing w:line="360" w:lineRule="auto"/>
              <w:ind w:firstLine="210" w:firstLineChars="100"/>
              <w:jc w:val="left"/>
              <w:rPr>
                <w:highlight w:val="none"/>
              </w:rPr>
            </w:pPr>
            <w:r>
              <w:rPr>
                <w:rFonts w:hint="eastAsia"/>
                <w:highlight w:val="none"/>
              </w:rPr>
              <w:t>随机摇号确定排序。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89" w:hRule="atLeast"/>
        </w:trPr>
        <w:tc>
          <w:tcPr>
            <w:tcW w:w="989" w:type="dxa"/>
            <w:tcMar>
              <w:top w:w="57" w:type="dxa"/>
              <w:left w:w="57" w:type="dxa"/>
              <w:bottom w:w="57" w:type="dxa"/>
              <w:right w:w="57" w:type="dxa"/>
            </w:tcMar>
          </w:tcPr>
          <w:p>
            <w:pPr>
              <w:pStyle w:val="105"/>
              <w:rPr>
                <w:b/>
                <w:sz w:val="22"/>
                <w:highlight w:val="none"/>
              </w:rPr>
            </w:pPr>
          </w:p>
          <w:p>
            <w:pPr>
              <w:pStyle w:val="105"/>
              <w:rPr>
                <w:b/>
                <w:sz w:val="22"/>
                <w:highlight w:val="none"/>
              </w:rPr>
            </w:pPr>
          </w:p>
          <w:p>
            <w:pPr>
              <w:pStyle w:val="105"/>
              <w:rPr>
                <w:b/>
                <w:sz w:val="22"/>
                <w:highlight w:val="none"/>
              </w:rPr>
            </w:pPr>
          </w:p>
          <w:p>
            <w:pPr>
              <w:pStyle w:val="105"/>
              <w:rPr>
                <w:b/>
                <w:sz w:val="22"/>
                <w:highlight w:val="none"/>
              </w:rPr>
            </w:pPr>
          </w:p>
          <w:p>
            <w:pPr>
              <w:pStyle w:val="105"/>
              <w:rPr>
                <w:b/>
                <w:sz w:val="22"/>
                <w:highlight w:val="none"/>
              </w:rPr>
            </w:pPr>
          </w:p>
          <w:p>
            <w:pPr>
              <w:pStyle w:val="105"/>
              <w:rPr>
                <w:b/>
                <w:sz w:val="22"/>
                <w:highlight w:val="none"/>
              </w:rPr>
            </w:pPr>
          </w:p>
          <w:p>
            <w:pPr>
              <w:pStyle w:val="105"/>
              <w:rPr>
                <w:b/>
                <w:sz w:val="22"/>
                <w:highlight w:val="none"/>
              </w:rPr>
            </w:pPr>
          </w:p>
          <w:p>
            <w:pPr>
              <w:pStyle w:val="105"/>
              <w:rPr>
                <w:b/>
                <w:sz w:val="22"/>
                <w:highlight w:val="none"/>
              </w:rPr>
            </w:pPr>
          </w:p>
          <w:p>
            <w:pPr>
              <w:pStyle w:val="105"/>
              <w:rPr>
                <w:b/>
                <w:sz w:val="22"/>
                <w:highlight w:val="none"/>
              </w:rPr>
            </w:pPr>
          </w:p>
          <w:p>
            <w:pPr>
              <w:pStyle w:val="105"/>
              <w:rPr>
                <w:b/>
                <w:sz w:val="22"/>
                <w:highlight w:val="none"/>
              </w:rPr>
            </w:pPr>
          </w:p>
          <w:p>
            <w:pPr>
              <w:pStyle w:val="105"/>
              <w:rPr>
                <w:b/>
                <w:sz w:val="22"/>
                <w:highlight w:val="none"/>
              </w:rPr>
            </w:pPr>
          </w:p>
          <w:p>
            <w:pPr>
              <w:pStyle w:val="105"/>
              <w:spacing w:before="12"/>
              <w:rPr>
                <w:b/>
                <w:sz w:val="30"/>
                <w:highlight w:val="none"/>
              </w:rPr>
            </w:pPr>
          </w:p>
          <w:p>
            <w:pPr>
              <w:pStyle w:val="105"/>
              <w:ind w:left="285"/>
              <w:rPr>
                <w:rFonts w:ascii="Times New Roman"/>
                <w:highlight w:val="none"/>
              </w:rPr>
            </w:pPr>
            <w:r>
              <w:rPr>
                <w:rFonts w:ascii="Times New Roman"/>
                <w:highlight w:val="none"/>
              </w:rPr>
              <w:t>2.1.1</w:t>
            </w:r>
          </w:p>
          <w:p>
            <w:pPr>
              <w:pStyle w:val="105"/>
              <w:spacing w:before="6"/>
              <w:rPr>
                <w:b/>
                <w:sz w:val="15"/>
                <w:highlight w:val="none"/>
              </w:rPr>
            </w:pPr>
          </w:p>
          <w:p>
            <w:pPr>
              <w:pStyle w:val="105"/>
              <w:ind w:left="285"/>
              <w:rPr>
                <w:rFonts w:ascii="Times New Roman"/>
                <w:highlight w:val="none"/>
              </w:rPr>
            </w:pPr>
            <w:r>
              <w:rPr>
                <w:rFonts w:ascii="Times New Roman"/>
                <w:highlight w:val="none"/>
              </w:rPr>
              <w:t>2.1.3</w:t>
            </w:r>
          </w:p>
        </w:tc>
        <w:tc>
          <w:tcPr>
            <w:tcW w:w="1280" w:type="dxa"/>
            <w:tcMar>
              <w:top w:w="57" w:type="dxa"/>
              <w:left w:w="57" w:type="dxa"/>
              <w:bottom w:w="57" w:type="dxa"/>
              <w:right w:w="57" w:type="dxa"/>
            </w:tcMar>
          </w:tcPr>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rPr>
                <w:b/>
                <w:sz w:val="20"/>
                <w:highlight w:val="none"/>
              </w:rPr>
            </w:pPr>
          </w:p>
          <w:p>
            <w:pPr>
              <w:pStyle w:val="105"/>
              <w:spacing w:before="173" w:line="391" w:lineRule="auto"/>
              <w:ind w:left="114" w:right="104"/>
              <w:jc w:val="center"/>
              <w:rPr>
                <w:highlight w:val="none"/>
              </w:rPr>
            </w:pPr>
            <w:r>
              <w:rPr>
                <w:highlight w:val="none"/>
              </w:rPr>
              <w:t>形式评审与响应性评审标准</w:t>
            </w:r>
          </w:p>
        </w:tc>
        <w:tc>
          <w:tcPr>
            <w:tcW w:w="6622" w:type="dxa"/>
            <w:tcMar>
              <w:top w:w="57" w:type="dxa"/>
              <w:left w:w="57" w:type="dxa"/>
              <w:bottom w:w="57" w:type="dxa"/>
              <w:right w:w="57" w:type="dxa"/>
            </w:tcMar>
          </w:tcPr>
          <w:p>
            <w:pPr>
              <w:spacing w:line="440" w:lineRule="atLeast"/>
              <w:ind w:firstLine="422" w:firstLineChars="200"/>
              <w:rPr>
                <w:b/>
                <w:szCs w:val="21"/>
                <w:highlight w:val="none"/>
              </w:rPr>
            </w:pPr>
            <w:r>
              <w:rPr>
                <w:b/>
                <w:szCs w:val="21"/>
                <w:highlight w:val="none"/>
              </w:rPr>
              <w:t>第一个信封（商务及技术文件）评审标准：</w:t>
            </w:r>
          </w:p>
          <w:p>
            <w:pPr>
              <w:spacing w:line="440" w:lineRule="atLeast"/>
              <w:ind w:firstLine="420" w:firstLineChars="200"/>
              <w:rPr>
                <w:szCs w:val="21"/>
                <w:highlight w:val="none"/>
              </w:rPr>
            </w:pPr>
            <w:r>
              <w:rPr>
                <w:szCs w:val="21"/>
                <w:highlight w:val="none"/>
              </w:rPr>
              <w:t>（1）投标文件按照招标文件规定的格式、内容填写，字迹清晰可辨：</w:t>
            </w:r>
          </w:p>
          <w:p>
            <w:pPr>
              <w:spacing w:line="440" w:lineRule="atLeast"/>
              <w:ind w:firstLine="420" w:firstLineChars="200"/>
              <w:rPr>
                <w:szCs w:val="21"/>
                <w:highlight w:val="none"/>
              </w:rPr>
            </w:pPr>
            <w:r>
              <w:rPr>
                <w:szCs w:val="21"/>
                <w:highlight w:val="none"/>
              </w:rPr>
              <w:t>a.投标函按招标文件规定填报了项目名称、标段号、补遗书编号（如有）、服务期限、服务质量要求、安全目标</w:t>
            </w:r>
            <w:r>
              <w:rPr>
                <w:rFonts w:eastAsia="黑体"/>
                <w:szCs w:val="21"/>
                <w:highlight w:val="none"/>
              </w:rPr>
              <w:t>及环保目标</w:t>
            </w:r>
            <w:r>
              <w:rPr>
                <w:szCs w:val="21"/>
                <w:highlight w:val="none"/>
              </w:rPr>
              <w:t>；</w:t>
            </w:r>
          </w:p>
          <w:p>
            <w:pPr>
              <w:spacing w:line="440" w:lineRule="atLeast"/>
              <w:ind w:firstLine="420" w:firstLineChars="200"/>
              <w:rPr>
                <w:szCs w:val="21"/>
                <w:highlight w:val="none"/>
              </w:rPr>
            </w:pPr>
            <w:r>
              <w:rPr>
                <w:szCs w:val="21"/>
                <w:highlight w:val="none"/>
              </w:rPr>
              <w:t>b.投标文件组成齐全完整，内容均按规定填写。</w:t>
            </w:r>
          </w:p>
          <w:p>
            <w:pPr>
              <w:spacing w:line="440" w:lineRule="atLeast"/>
              <w:ind w:firstLine="420" w:firstLineChars="200"/>
              <w:rPr>
                <w:szCs w:val="21"/>
                <w:highlight w:val="none"/>
              </w:rPr>
            </w:pPr>
            <w:r>
              <w:rPr>
                <w:szCs w:val="21"/>
                <w:highlight w:val="none"/>
              </w:rPr>
              <w:t>（2）投标文件上法定代表人或其委托代理人的签字、投标人的单位章盖章齐全，符合招标文件规定。</w:t>
            </w:r>
          </w:p>
          <w:p>
            <w:pPr>
              <w:spacing w:line="440" w:lineRule="atLeast"/>
              <w:ind w:firstLine="420" w:firstLineChars="200"/>
              <w:rPr>
                <w:szCs w:val="21"/>
                <w:highlight w:val="none"/>
              </w:rPr>
            </w:pPr>
            <w:r>
              <w:rPr>
                <w:szCs w:val="21"/>
                <w:highlight w:val="none"/>
              </w:rPr>
              <w:t>（3）与申请资格预审时比较，投标人发生合并、分立、破产等重大变化的，仍具备资格预审文件规定的相应资格条件且其投标未影响招标公正性：</w:t>
            </w:r>
          </w:p>
          <w:p>
            <w:pPr>
              <w:spacing w:line="440" w:lineRule="atLeast"/>
              <w:ind w:firstLine="420" w:firstLineChars="200"/>
              <w:rPr>
                <w:szCs w:val="21"/>
                <w:highlight w:val="none"/>
              </w:rPr>
            </w:pPr>
            <w:r>
              <w:rPr>
                <w:szCs w:val="21"/>
                <w:highlight w:val="none"/>
              </w:rPr>
              <w:t>a.投标人应提供相关部门的合法批件及企业法人营业执照和资质证书等证件的副本变更记录复印件；</w:t>
            </w:r>
          </w:p>
          <w:p>
            <w:pPr>
              <w:spacing w:line="440" w:lineRule="atLeast"/>
              <w:ind w:firstLine="420" w:firstLineChars="200"/>
              <w:rPr>
                <w:szCs w:val="21"/>
                <w:highlight w:val="none"/>
              </w:rPr>
            </w:pPr>
            <w:r>
              <w:rPr>
                <w:szCs w:val="21"/>
                <w:highlight w:val="none"/>
              </w:rPr>
              <w:t>b.投标人仍然满足资格预审文件中规定的资格预审条件最低要求（资质、业绩、人员、信誉等）；</w:t>
            </w:r>
          </w:p>
          <w:p>
            <w:pPr>
              <w:pStyle w:val="105"/>
              <w:numPr>
                <w:ilvl w:val="0"/>
                <w:numId w:val="2"/>
              </w:numPr>
              <w:tabs>
                <w:tab w:val="left" w:pos="674"/>
              </w:tabs>
              <w:spacing w:before="26" w:line="442" w:lineRule="exact"/>
              <w:ind w:right="97" w:firstLine="420"/>
              <w:rPr>
                <w:highlight w:val="none"/>
              </w:rPr>
            </w:pPr>
            <w:r>
              <w:rPr>
                <w:szCs w:val="21"/>
                <w:highlight w:val="none"/>
              </w:rPr>
              <w:t>c.与所投标段的其他投标人不存在控股、管理关系或单位负责人为同一人的情况；与招标人也不存在利害关系并可能影响招标公正性。</w:t>
            </w:r>
          </w:p>
        </w:tc>
      </w:tr>
    </w:tbl>
    <w:p>
      <w:pPr>
        <w:pStyle w:val="11"/>
        <w:rPr>
          <w:b/>
          <w:sz w:val="20"/>
          <w:highlight w:val="none"/>
        </w:rPr>
      </w:pPr>
    </w:p>
    <w:p>
      <w:pPr>
        <w:pStyle w:val="11"/>
        <w:spacing w:before="11"/>
        <w:rPr>
          <w:b/>
          <w:sz w:val="18"/>
          <w:highlight w:val="none"/>
        </w:rPr>
      </w:pPr>
      <w:r>
        <w:rPr>
          <w:highlight w:val="none"/>
        </w:rPr>
        <mc:AlternateContent>
          <mc:Choice Requires="wps">
            <w:drawing>
              <wp:anchor distT="0" distB="0" distL="0" distR="0" simplePos="0" relativeHeight="251665408" behindDoc="1" locked="0" layoutInCell="1" allowOverlap="1">
                <wp:simplePos x="0" y="0"/>
                <wp:positionH relativeFrom="page">
                  <wp:posOffset>1043305</wp:posOffset>
                </wp:positionH>
                <wp:positionV relativeFrom="paragraph">
                  <wp:posOffset>178435</wp:posOffset>
                </wp:positionV>
                <wp:extent cx="1828800" cy="0"/>
                <wp:effectExtent l="0" t="0" r="0" b="0"/>
                <wp:wrapTopAndBottom/>
                <wp:docPr id="62" name="直线 41"/>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wps:wsp>
                  </a:graphicData>
                </a:graphic>
              </wp:anchor>
            </w:drawing>
          </mc:Choice>
          <mc:Fallback>
            <w:pict>
              <v:line id="直线 41" o:spid="_x0000_s1026" o:spt="20" style="position:absolute;left:0pt;margin-left:82.15pt;margin-top:14.05pt;height:0pt;width:144pt;mso-position-horizontal-relative:page;mso-wrap-distance-bottom:0pt;mso-wrap-distance-top:0pt;z-index:-251651072;mso-width-relative:page;mso-height-relative:page;" filled="f" stroked="t" coordsize="21600,21600" o:gfxdata="UEsDBAoAAAAAAIdO4kAAAAAAAAAAAAAAAAAEAAAAZHJzL1BLAwQUAAAACACHTuJAczfChtYAAAAJ&#10;AQAADwAAAGRycy9kb3ducmV2LnhtbE2PzU7DMBCE70i8g7VI3KidtERViNNDERdAQg1IcHTjJUmx&#10;11Hs/vD2LOJQjjP7aXamWp28Ewec4hBIQzZTIJDaYAfqNLy9PtwsQcRkyBoXCDV8Y4RVfXlRmdKG&#10;I23w0KROcAjF0mjoUxpLKWPbozdxFkYkvn2GyZvEcuqkncyRw72TuVKF9GYg/tCbEdc9tl/N3mtQ&#10;L0/Fh3xe73bvj/cbZeaNU1mj9fVVpu5AJDylMwy/9bk61NxpG/Zko3Csi8WcUQ35MgPBwOI2Z2P7&#10;Z8i6kv8X1D9QSwMEFAAAAAgAh07iQE7mHKLcAQAAzgMAAA4AAABkcnMvZTJvRG9jLnhtbK1TS24b&#10;MQzdF+gdBO3rsY0iMAYeZxE33RStgbYHoPWZEaAfRMVjn6XX6KqbHifXKKVxnDTdeNFZaCiKeuR7&#10;pNa3R2fZQSU0wXd8MZtzprwI0vi+49+/3b9bcYYZvAQbvOr4SSG/3bx9sx5jq5ZhCFaqxAjEYzvG&#10;jg85x7ZpUAzKAc5CVJ4OdUgOMm1T38gEI6E72yzn85tmDEnGFIRCJO92OuRnxHQNYNDaCLUN4sEp&#10;nyfUpCxkooSDicg3tVqtlchftEaVme04Mc11pSRk78vabNbQ9gniYMS5BLimhFecHBhPSS9QW8jA&#10;HpL5B8oZkQIGnWciuGYiUhUhFov5K22+DhBV5UJSY7yIjv8PVnw+7BIzsuM3S848OOr444+fj79+&#10;s/eLos4YsaWgO79L5x3GXSpUjzq58icS7FgVPV0UVcfMBDkXq+VqNSexxdNZ83wxJswfVXCsGB23&#10;xhey0MLhE2ZKRqFPIcVtPRtrGgE0dpraTbAuUuno+3oRgzXy3lhbwjH1+zub2AFK6+tX+BDoX2El&#10;wxZwmOLq0TQUgwL5wUuWT5E08fQWeMnvlOTMKno6xSJAaDMYe00kpbaeKiiSTiIWax/kqWpb/dTm&#10;WuN5JMscvdzX28/PcPM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czfChtYAAAAJAQAADwAAAAAA&#10;AAABACAAAAAiAAAAZHJzL2Rvd25yZXYueG1sUEsBAhQAFAAAAAgAh07iQE7mHKLcAQAAzgMAAA4A&#10;AAAAAAAAAQAgAAAAJQEAAGRycy9lMm9Eb2MueG1sUEsFBgAAAAAGAAYAWQEAAHMFAAAAAA==&#10;">
                <v:fill on="f" focussize="0,0"/>
                <v:stroke weight="0pt" color="#000000" joinstyle="round"/>
                <v:imagedata o:title=""/>
                <o:lock v:ext="edit" aspectratio="f"/>
                <w10:wrap type="topAndBottom"/>
              </v:line>
            </w:pict>
          </mc:Fallback>
        </mc:AlternateContent>
      </w:r>
    </w:p>
    <w:p>
      <w:pPr>
        <w:spacing w:before="180"/>
        <w:ind w:left="283"/>
        <w:jc w:val="left"/>
        <w:rPr>
          <w:rFonts w:ascii="黑体" w:hAnsi="黑体" w:eastAsia="黑体"/>
          <w:sz w:val="18"/>
          <w:highlight w:val="none"/>
        </w:rPr>
      </w:pPr>
      <w:r>
        <w:rPr>
          <w:position w:val="9"/>
          <w:sz w:val="9"/>
          <w:highlight w:val="none"/>
        </w:rPr>
        <w:t xml:space="preserve">① </w:t>
      </w:r>
      <w:r>
        <w:rPr>
          <w:rFonts w:hint="eastAsia" w:ascii="黑体" w:hAnsi="黑体" w:eastAsia="黑体"/>
          <w:sz w:val="18"/>
          <w:highlight w:val="none"/>
        </w:rPr>
        <w:t>所有否决投标的条款标明*号。未标明*号的条款不得作为否决投标的条款。</w:t>
      </w:r>
    </w:p>
    <w:p>
      <w:pPr>
        <w:spacing w:line="312" w:lineRule="auto"/>
        <w:jc w:val="left"/>
        <w:rPr>
          <w:sz w:val="18"/>
          <w:highlight w:val="none"/>
        </w:rPr>
        <w:sectPr>
          <w:pgSz w:w="11910" w:h="16840"/>
          <w:pgMar w:top="1280" w:right="1120" w:bottom="1280" w:left="1360" w:header="0" w:footer="1011" w:gutter="0"/>
          <w:pgBorders>
            <w:top w:val="none" w:sz="0" w:space="0"/>
            <w:left w:val="none" w:sz="0" w:space="0"/>
            <w:bottom w:val="none" w:sz="0" w:space="0"/>
            <w:right w:val="none" w:sz="0" w:space="0"/>
          </w:pgBorders>
          <w:cols w:space="720" w:num="1"/>
        </w:sectPr>
      </w:pPr>
    </w:p>
    <w:p>
      <w:pPr>
        <w:pStyle w:val="11"/>
        <w:rPr>
          <w:sz w:val="26"/>
          <w:highlight w:val="none"/>
        </w:rPr>
      </w:pPr>
    </w:p>
    <w:tbl>
      <w:tblPr>
        <w:tblStyle w:val="38"/>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tcMar>
              <w:top w:w="57" w:type="dxa"/>
              <w:left w:w="57" w:type="dxa"/>
              <w:bottom w:w="57" w:type="dxa"/>
              <w:right w:w="57" w:type="dxa"/>
            </w:tcMar>
            <w:vAlign w:val="center"/>
          </w:tcPr>
          <w:p>
            <w:pPr>
              <w:jc w:val="center"/>
              <w:rPr>
                <w:b/>
                <w:bCs/>
                <w:highlight w:val="none"/>
              </w:rPr>
            </w:pPr>
            <w:r>
              <w:rPr>
                <w:b/>
                <w:bCs/>
                <w:highlight w:val="none"/>
              </w:rPr>
              <w:t>条款号</w:t>
            </w:r>
          </w:p>
        </w:tc>
        <w:tc>
          <w:tcPr>
            <w:tcW w:w="6622" w:type="dxa"/>
            <w:tcMar>
              <w:top w:w="57" w:type="dxa"/>
              <w:left w:w="57" w:type="dxa"/>
              <w:bottom w:w="57" w:type="dxa"/>
              <w:right w:w="57" w:type="dxa"/>
            </w:tcMar>
            <w:vAlign w:val="center"/>
          </w:tcPr>
          <w:p>
            <w:pPr>
              <w:jc w:val="center"/>
              <w:rPr>
                <w:b/>
                <w:bCs/>
                <w:highlight w:val="none"/>
              </w:rPr>
            </w:pPr>
            <w:r>
              <w:rPr>
                <w:b/>
                <w:bCs/>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60" w:hRule="atLeast"/>
        </w:trPr>
        <w:tc>
          <w:tcPr>
            <w:tcW w:w="989" w:type="dxa"/>
            <w:tcMar>
              <w:top w:w="57" w:type="dxa"/>
              <w:left w:w="57" w:type="dxa"/>
              <w:bottom w:w="57" w:type="dxa"/>
              <w:right w:w="57" w:type="dxa"/>
            </w:tcMar>
          </w:tcPr>
          <w:p>
            <w:pPr>
              <w:pStyle w:val="105"/>
              <w:rPr>
                <w:rFonts w:ascii="Times New Roman"/>
                <w:sz w:val="20"/>
                <w:highlight w:val="none"/>
              </w:rPr>
            </w:pPr>
          </w:p>
        </w:tc>
        <w:tc>
          <w:tcPr>
            <w:tcW w:w="1280" w:type="dxa"/>
            <w:tcMar>
              <w:top w:w="57" w:type="dxa"/>
              <w:left w:w="57" w:type="dxa"/>
              <w:bottom w:w="57" w:type="dxa"/>
              <w:right w:w="57" w:type="dxa"/>
            </w:tcMar>
          </w:tcPr>
          <w:p>
            <w:pPr>
              <w:pStyle w:val="105"/>
              <w:rPr>
                <w:rFonts w:ascii="Times New Roman"/>
                <w:sz w:val="20"/>
                <w:highlight w:val="none"/>
              </w:rPr>
            </w:pPr>
          </w:p>
        </w:tc>
        <w:tc>
          <w:tcPr>
            <w:tcW w:w="6622" w:type="dxa"/>
            <w:tcMar>
              <w:top w:w="57" w:type="dxa"/>
              <w:left w:w="57" w:type="dxa"/>
              <w:bottom w:w="57" w:type="dxa"/>
              <w:right w:w="57" w:type="dxa"/>
            </w:tcMar>
          </w:tcPr>
          <w:p>
            <w:pPr>
              <w:spacing w:line="440" w:lineRule="atLeast"/>
              <w:ind w:firstLine="420" w:firstLineChars="200"/>
              <w:rPr>
                <w:szCs w:val="21"/>
                <w:highlight w:val="none"/>
              </w:rPr>
            </w:pPr>
            <w:r>
              <w:rPr>
                <w:szCs w:val="21"/>
                <w:highlight w:val="none"/>
              </w:rPr>
              <w:t>（4）投标人按照招标文件的规定提供了投标保证金：</w:t>
            </w:r>
          </w:p>
          <w:p>
            <w:pPr>
              <w:spacing w:line="440" w:lineRule="atLeast"/>
              <w:ind w:firstLine="420" w:firstLineChars="200"/>
              <w:rPr>
                <w:szCs w:val="21"/>
                <w:highlight w:val="none"/>
              </w:rPr>
            </w:pPr>
            <w:r>
              <w:rPr>
                <w:szCs w:val="21"/>
                <w:highlight w:val="none"/>
              </w:rPr>
              <w:t>a.投标保证金金额符合招标文件规定的金额，且投标保证金有效期与投标有效期一致；</w:t>
            </w:r>
          </w:p>
          <w:p>
            <w:pPr>
              <w:spacing w:line="440" w:lineRule="atLeast"/>
              <w:ind w:firstLine="420" w:firstLineChars="200"/>
              <w:rPr>
                <w:szCs w:val="21"/>
                <w:highlight w:val="none"/>
              </w:rPr>
            </w:pPr>
            <w:r>
              <w:rPr>
                <w:szCs w:val="21"/>
                <w:highlight w:val="none"/>
              </w:rPr>
              <w:t>b.若投标保证金采用现金或支票形式提交，投标人应在递交投标文件截止时间之前，将投标保证金由投标人的基本账户转入招标人指定账户；</w:t>
            </w:r>
          </w:p>
          <w:p>
            <w:pPr>
              <w:spacing w:line="440" w:lineRule="atLeast"/>
              <w:ind w:firstLine="420" w:firstLineChars="200"/>
              <w:rPr>
                <w:szCs w:val="21"/>
                <w:highlight w:val="none"/>
              </w:rPr>
            </w:pPr>
            <w:r>
              <w:rPr>
                <w:szCs w:val="21"/>
                <w:highlight w:val="none"/>
              </w:rPr>
              <w:t>c.若投标保证金采用银行保函形式提交，银行保函的格式、开具保函的银行均满足招标文件要求，且在递交投标文件截止时间之前向招标人提交了银行保函原件。</w:t>
            </w:r>
          </w:p>
          <w:p>
            <w:pPr>
              <w:spacing w:line="440" w:lineRule="atLeast"/>
              <w:ind w:firstLine="420" w:firstLineChars="200"/>
              <w:rPr>
                <w:szCs w:val="21"/>
                <w:highlight w:val="none"/>
              </w:rPr>
            </w:pPr>
            <w:r>
              <w:rPr>
                <w:szCs w:val="21"/>
                <w:highlight w:val="none"/>
              </w:rPr>
              <w:t>（5）投标人法定代表人授权委托代理人签署投标文件的，须提交授权委托书，且授权人和被授权人均在授权委托书上签名，未使用印章、签名章或其他电子制版签名代替。</w:t>
            </w:r>
          </w:p>
          <w:p>
            <w:pPr>
              <w:spacing w:line="440" w:lineRule="atLeast"/>
              <w:ind w:firstLine="420" w:firstLineChars="200"/>
              <w:rPr>
                <w:szCs w:val="21"/>
                <w:highlight w:val="none"/>
              </w:rPr>
            </w:pPr>
            <w:r>
              <w:rPr>
                <w:szCs w:val="21"/>
                <w:highlight w:val="none"/>
              </w:rPr>
              <w:t>（6）投标人法定代表人亲自签署投标文件的，提供了法定代表人身份证明，且法定代表人在法定代表人身份证明上签名，未使用印章、签名章或其他电子制版签名代替。</w:t>
            </w:r>
          </w:p>
          <w:p>
            <w:pPr>
              <w:spacing w:line="440" w:lineRule="atLeast"/>
              <w:ind w:firstLine="420" w:firstLineChars="200"/>
              <w:rPr>
                <w:szCs w:val="21"/>
                <w:highlight w:val="none"/>
              </w:rPr>
            </w:pPr>
            <w:r>
              <w:rPr>
                <w:szCs w:val="21"/>
                <w:highlight w:val="none"/>
              </w:rPr>
              <w:t>（7）投标人以联合体形式投标时，联合体满足招标文件的要求：</w:t>
            </w:r>
          </w:p>
          <w:p>
            <w:pPr>
              <w:spacing w:line="440" w:lineRule="atLeast"/>
              <w:ind w:firstLine="420" w:firstLineChars="200"/>
              <w:rPr>
                <w:szCs w:val="21"/>
                <w:highlight w:val="none"/>
              </w:rPr>
            </w:pPr>
            <w:r>
              <w:rPr>
                <w:szCs w:val="21"/>
                <w:highlight w:val="none"/>
              </w:rPr>
              <w:t>a.未进行资格预审的，投标人按照招标文件提供的格式签订了联合体协议书，</w:t>
            </w:r>
            <w:r>
              <w:rPr>
                <w:highlight w:val="none"/>
              </w:rPr>
              <w:t>明确各方承担连带责任，</w:t>
            </w:r>
            <w:r>
              <w:rPr>
                <w:szCs w:val="21"/>
                <w:highlight w:val="none"/>
              </w:rPr>
              <w:t>并明确了联合体牵头人；</w:t>
            </w:r>
          </w:p>
          <w:p>
            <w:pPr>
              <w:spacing w:line="440" w:lineRule="atLeast"/>
              <w:ind w:firstLine="420" w:firstLineChars="200"/>
              <w:rPr>
                <w:szCs w:val="21"/>
                <w:highlight w:val="none"/>
              </w:rPr>
            </w:pPr>
            <w:r>
              <w:rPr>
                <w:szCs w:val="21"/>
                <w:highlight w:val="none"/>
              </w:rPr>
              <w:t>b.已进行资格预审的，投标人提供了资格预审申请文件中所附的联合体协议书复印件，且通过资格预审后的联合体无成员增减或更换的情况。</w:t>
            </w:r>
          </w:p>
          <w:p>
            <w:pPr>
              <w:spacing w:line="340" w:lineRule="atLeast"/>
              <w:ind w:firstLine="420" w:firstLineChars="200"/>
              <w:rPr>
                <w:szCs w:val="21"/>
                <w:highlight w:val="none"/>
              </w:rPr>
            </w:pPr>
            <w:r>
              <w:rPr>
                <w:szCs w:val="21"/>
                <w:highlight w:val="none"/>
              </w:rPr>
              <w:t>（8）投标人如有分包计划，符合招标文件第二章“投标人须知”第1.11款规定，且按招标文件第</w:t>
            </w:r>
            <w:r>
              <w:rPr>
                <w:rFonts w:hint="eastAsia"/>
                <w:szCs w:val="21"/>
                <w:highlight w:val="none"/>
              </w:rPr>
              <w:t>七</w:t>
            </w:r>
            <w:r>
              <w:rPr>
                <w:szCs w:val="21"/>
                <w:highlight w:val="none"/>
              </w:rPr>
              <w:t>章“投标文件格式”的要求填写了“拟分包项目情况表”。</w:t>
            </w:r>
          </w:p>
          <w:p>
            <w:pPr>
              <w:spacing w:line="440" w:lineRule="atLeast"/>
              <w:ind w:firstLine="420" w:firstLineChars="200"/>
              <w:rPr>
                <w:szCs w:val="21"/>
                <w:highlight w:val="none"/>
              </w:rPr>
            </w:pPr>
            <w:r>
              <w:rPr>
                <w:szCs w:val="21"/>
                <w:highlight w:val="none"/>
              </w:rPr>
              <w:t>（9）同一投标人未提交两个以上不同的投标文件，但招标文件要求提交备选投标的除外。</w:t>
            </w:r>
          </w:p>
          <w:p>
            <w:pPr>
              <w:spacing w:line="440" w:lineRule="atLeast"/>
              <w:ind w:firstLine="420" w:firstLineChars="200"/>
              <w:rPr>
                <w:szCs w:val="21"/>
                <w:highlight w:val="none"/>
              </w:rPr>
            </w:pPr>
            <w:r>
              <w:rPr>
                <w:szCs w:val="21"/>
                <w:highlight w:val="none"/>
              </w:rPr>
              <w:t>（10）投标文件中未出现有关投标报价的内容。</w:t>
            </w:r>
          </w:p>
          <w:p>
            <w:pPr>
              <w:spacing w:line="360" w:lineRule="auto"/>
              <w:ind w:firstLine="420" w:firstLineChars="200"/>
              <w:rPr>
                <w:highlight w:val="none"/>
              </w:rPr>
            </w:pPr>
            <w:r>
              <w:rPr>
                <w:szCs w:val="21"/>
                <w:highlight w:val="none"/>
              </w:rPr>
              <w:t>（11）投标文件载明的招标项目完成期限未超过招标文件规定的时限。</w:t>
            </w:r>
          </w:p>
        </w:tc>
      </w:tr>
    </w:tbl>
    <w:p>
      <w:pPr>
        <w:spacing w:line="251" w:lineRule="exact"/>
        <w:rPr>
          <w:highlight w:val="none"/>
        </w:rPr>
        <w:sectPr>
          <w:pgSz w:w="11910" w:h="16840"/>
          <w:pgMar w:top="1280" w:right="1120" w:bottom="1200" w:left="1360" w:header="0" w:footer="1011" w:gutter="0"/>
          <w:pgBorders>
            <w:top w:val="none" w:sz="0" w:space="0"/>
            <w:left w:val="none" w:sz="0" w:space="0"/>
            <w:bottom w:val="none" w:sz="0" w:space="0"/>
            <w:right w:val="none" w:sz="0" w:space="0"/>
          </w:pgBorders>
          <w:cols w:space="720" w:num="1"/>
        </w:sectPr>
      </w:pPr>
    </w:p>
    <w:tbl>
      <w:tblPr>
        <w:tblStyle w:val="38"/>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vAlign w:val="center"/>
          </w:tcPr>
          <w:p>
            <w:pPr>
              <w:jc w:val="center"/>
              <w:rPr>
                <w:b/>
                <w:bCs/>
                <w:highlight w:val="none"/>
              </w:rPr>
            </w:pPr>
            <w:r>
              <w:rPr>
                <w:b/>
                <w:bCs/>
                <w:highlight w:val="none"/>
              </w:rPr>
              <w:t>条款号</w:t>
            </w:r>
          </w:p>
        </w:tc>
        <w:tc>
          <w:tcPr>
            <w:tcW w:w="6622" w:type="dxa"/>
            <w:vAlign w:val="center"/>
          </w:tcPr>
          <w:p>
            <w:pPr>
              <w:jc w:val="center"/>
              <w:rPr>
                <w:b/>
                <w:bCs/>
                <w:highlight w:val="none"/>
              </w:rPr>
            </w:pPr>
            <w:r>
              <w:rPr>
                <w:b/>
                <w:bCs/>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47" w:hRule="atLeast"/>
        </w:trPr>
        <w:tc>
          <w:tcPr>
            <w:tcW w:w="989" w:type="dxa"/>
            <w:tcBorders>
              <w:right w:val="single" w:color="auto" w:sz="4" w:space="0"/>
            </w:tcBorders>
          </w:tcPr>
          <w:p>
            <w:pPr>
              <w:pStyle w:val="105"/>
              <w:rPr>
                <w:rFonts w:ascii="Times New Roman"/>
                <w:sz w:val="20"/>
                <w:highlight w:val="none"/>
              </w:rPr>
            </w:pPr>
          </w:p>
        </w:tc>
        <w:tc>
          <w:tcPr>
            <w:tcW w:w="1280" w:type="dxa"/>
            <w:tcBorders>
              <w:top w:val="single" w:color="auto" w:sz="4" w:space="0"/>
              <w:left w:val="single" w:color="auto" w:sz="4" w:space="0"/>
              <w:bottom w:val="single" w:color="auto" w:sz="4" w:space="0"/>
              <w:right w:val="single" w:color="auto" w:sz="4" w:space="0"/>
            </w:tcBorders>
          </w:tcPr>
          <w:p>
            <w:pPr>
              <w:pStyle w:val="105"/>
              <w:rPr>
                <w:rFonts w:ascii="Times New Roman"/>
                <w:sz w:val="20"/>
                <w:highlight w:val="none"/>
              </w:rPr>
            </w:pPr>
          </w:p>
        </w:tc>
        <w:tc>
          <w:tcPr>
            <w:tcW w:w="6622" w:type="dxa"/>
            <w:tcBorders>
              <w:top w:val="single" w:color="auto" w:sz="4" w:space="0"/>
              <w:left w:val="single" w:color="auto" w:sz="4" w:space="0"/>
              <w:bottom w:val="single" w:color="auto" w:sz="4" w:space="0"/>
              <w:right w:val="single" w:color="auto" w:sz="4" w:space="0"/>
            </w:tcBorders>
          </w:tcPr>
          <w:p>
            <w:pPr>
              <w:spacing w:line="440" w:lineRule="atLeast"/>
              <w:ind w:firstLine="420" w:firstLineChars="200"/>
              <w:rPr>
                <w:szCs w:val="21"/>
                <w:highlight w:val="none"/>
              </w:rPr>
            </w:pPr>
            <w:r>
              <w:rPr>
                <w:szCs w:val="21"/>
                <w:highlight w:val="none"/>
              </w:rPr>
              <w:t>（12）投标文件对招标文件的实质性要求和条件作出响应。</w:t>
            </w:r>
          </w:p>
          <w:p>
            <w:pPr>
              <w:spacing w:line="440" w:lineRule="atLeast"/>
              <w:ind w:firstLine="420" w:firstLineChars="200"/>
              <w:rPr>
                <w:szCs w:val="21"/>
                <w:highlight w:val="none"/>
              </w:rPr>
            </w:pPr>
            <w:r>
              <w:rPr>
                <w:szCs w:val="21"/>
                <w:highlight w:val="none"/>
              </w:rPr>
              <w:t>（13）权利义务符合招标文件规定：</w:t>
            </w:r>
          </w:p>
          <w:p>
            <w:pPr>
              <w:spacing w:line="440" w:lineRule="atLeast"/>
              <w:ind w:firstLine="420" w:firstLineChars="200"/>
              <w:rPr>
                <w:szCs w:val="21"/>
                <w:highlight w:val="none"/>
              </w:rPr>
            </w:pPr>
            <w:r>
              <w:rPr>
                <w:szCs w:val="21"/>
                <w:highlight w:val="none"/>
              </w:rPr>
              <w:t>a.投标人应接受招标文件规定的风险划分原则，未提出新的风险划分办法；</w:t>
            </w:r>
          </w:p>
          <w:p>
            <w:pPr>
              <w:spacing w:line="440" w:lineRule="atLeast"/>
              <w:ind w:firstLine="420" w:firstLineChars="200"/>
              <w:rPr>
                <w:szCs w:val="21"/>
                <w:highlight w:val="none"/>
              </w:rPr>
            </w:pPr>
            <w:r>
              <w:rPr>
                <w:szCs w:val="21"/>
                <w:highlight w:val="none"/>
              </w:rPr>
              <w:t>b.投标人未增加委托人的责任范围，或减少投标人义务；</w:t>
            </w:r>
          </w:p>
          <w:p>
            <w:pPr>
              <w:spacing w:line="440" w:lineRule="atLeast"/>
              <w:ind w:firstLine="420" w:firstLineChars="200"/>
              <w:rPr>
                <w:szCs w:val="21"/>
                <w:highlight w:val="none"/>
              </w:rPr>
            </w:pPr>
            <w:r>
              <w:rPr>
                <w:szCs w:val="21"/>
                <w:highlight w:val="none"/>
              </w:rPr>
              <w:t>c.投标人未提出不同的支付办法；</w:t>
            </w:r>
          </w:p>
          <w:p>
            <w:pPr>
              <w:spacing w:line="440" w:lineRule="atLeast"/>
              <w:ind w:firstLine="420" w:firstLineChars="200"/>
              <w:rPr>
                <w:szCs w:val="21"/>
                <w:highlight w:val="none"/>
              </w:rPr>
            </w:pPr>
            <w:r>
              <w:rPr>
                <w:szCs w:val="21"/>
                <w:highlight w:val="none"/>
              </w:rPr>
              <w:t>d.投标人对合同纠纷、事故处理办法未提出异议；</w:t>
            </w:r>
          </w:p>
          <w:p>
            <w:pPr>
              <w:spacing w:line="440" w:lineRule="atLeast"/>
              <w:ind w:firstLine="420" w:firstLineChars="200"/>
              <w:rPr>
                <w:szCs w:val="21"/>
                <w:highlight w:val="none"/>
              </w:rPr>
            </w:pPr>
            <w:r>
              <w:rPr>
                <w:szCs w:val="21"/>
                <w:highlight w:val="none"/>
              </w:rPr>
              <w:t>e.投标人在投标活动中无欺诈行为；</w:t>
            </w:r>
          </w:p>
          <w:p>
            <w:pPr>
              <w:spacing w:line="440" w:lineRule="atLeast"/>
              <w:ind w:firstLine="420" w:firstLineChars="200"/>
              <w:rPr>
                <w:szCs w:val="21"/>
                <w:highlight w:val="none"/>
              </w:rPr>
            </w:pPr>
            <w:r>
              <w:rPr>
                <w:szCs w:val="21"/>
                <w:highlight w:val="none"/>
              </w:rPr>
              <w:t>f.投标人未对合同条款有重要保留。</w:t>
            </w:r>
          </w:p>
          <w:p>
            <w:pPr>
              <w:spacing w:line="440" w:lineRule="atLeast"/>
              <w:ind w:firstLine="420" w:firstLineChars="200"/>
              <w:rPr>
                <w:highlight w:val="none"/>
              </w:rPr>
            </w:pPr>
            <w:r>
              <w:rPr>
                <w:szCs w:val="21"/>
                <w:highlight w:val="none"/>
              </w:rPr>
              <w:t>（14）投标文件正、副本份数符合招标文件第二章“投标人须知”第3.7.4项规定。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28" w:hRule="atLeast"/>
        </w:trPr>
        <w:tc>
          <w:tcPr>
            <w:tcW w:w="989" w:type="dxa"/>
            <w:tcBorders>
              <w:top w:val="nil"/>
            </w:tcBorders>
            <w:tcMar>
              <w:top w:w="57" w:type="dxa"/>
              <w:left w:w="57" w:type="dxa"/>
              <w:bottom w:w="57" w:type="dxa"/>
              <w:right w:w="57" w:type="dxa"/>
            </w:tcMar>
            <w:vAlign w:val="center"/>
          </w:tcPr>
          <w:p>
            <w:pPr>
              <w:pStyle w:val="105"/>
              <w:ind w:left="285"/>
              <w:jc w:val="center"/>
              <w:rPr>
                <w:rFonts w:ascii="Times New Roman"/>
                <w:highlight w:val="none"/>
              </w:rPr>
            </w:pPr>
            <w:r>
              <w:rPr>
                <w:rFonts w:ascii="Times New Roman"/>
                <w:highlight w:val="none"/>
              </w:rPr>
              <w:t>2.1.1</w:t>
            </w:r>
          </w:p>
          <w:p>
            <w:pPr>
              <w:pStyle w:val="105"/>
              <w:spacing w:before="4"/>
              <w:jc w:val="center"/>
              <w:rPr>
                <w:rFonts w:ascii="Times New Roman"/>
                <w:sz w:val="17"/>
                <w:highlight w:val="none"/>
              </w:rPr>
            </w:pPr>
          </w:p>
          <w:p>
            <w:pPr>
              <w:pStyle w:val="105"/>
              <w:ind w:left="285"/>
              <w:jc w:val="center"/>
              <w:rPr>
                <w:rFonts w:ascii="Times New Roman"/>
                <w:highlight w:val="none"/>
              </w:rPr>
            </w:pPr>
            <w:r>
              <w:rPr>
                <w:rFonts w:ascii="Times New Roman"/>
                <w:highlight w:val="none"/>
              </w:rPr>
              <w:t>2.1.3</w:t>
            </w:r>
          </w:p>
        </w:tc>
        <w:tc>
          <w:tcPr>
            <w:tcW w:w="1280" w:type="dxa"/>
            <w:tcBorders>
              <w:top w:val="single" w:color="auto" w:sz="4" w:space="0"/>
            </w:tcBorders>
            <w:tcMar>
              <w:top w:w="57" w:type="dxa"/>
              <w:left w:w="57" w:type="dxa"/>
              <w:bottom w:w="57" w:type="dxa"/>
              <w:right w:w="57" w:type="dxa"/>
            </w:tcMar>
            <w:vAlign w:val="center"/>
          </w:tcPr>
          <w:p>
            <w:pPr>
              <w:pStyle w:val="105"/>
              <w:spacing w:before="1"/>
              <w:jc w:val="center"/>
              <w:rPr>
                <w:rFonts w:ascii="Times New Roman"/>
                <w:sz w:val="25"/>
                <w:highlight w:val="none"/>
              </w:rPr>
            </w:pPr>
          </w:p>
          <w:p>
            <w:pPr>
              <w:spacing w:line="360" w:lineRule="auto"/>
              <w:jc w:val="center"/>
              <w:rPr>
                <w:highlight w:val="none"/>
              </w:rPr>
            </w:pPr>
            <w:r>
              <w:rPr>
                <w:highlight w:val="none"/>
              </w:rPr>
              <w:t>形式评审与</w:t>
            </w:r>
          </w:p>
          <w:p>
            <w:pPr>
              <w:spacing w:line="360" w:lineRule="auto"/>
              <w:jc w:val="center"/>
              <w:rPr>
                <w:highlight w:val="none"/>
              </w:rPr>
            </w:pPr>
            <w:r>
              <w:rPr>
                <w:highlight w:val="none"/>
              </w:rPr>
              <w:t>响应性评审标准</w:t>
            </w:r>
          </w:p>
        </w:tc>
        <w:tc>
          <w:tcPr>
            <w:tcW w:w="6622" w:type="dxa"/>
            <w:tcBorders>
              <w:top w:val="single" w:color="auto" w:sz="4" w:space="0"/>
            </w:tcBorders>
            <w:tcMar>
              <w:top w:w="57" w:type="dxa"/>
              <w:left w:w="57" w:type="dxa"/>
              <w:bottom w:w="57" w:type="dxa"/>
              <w:right w:w="57" w:type="dxa"/>
            </w:tcMar>
          </w:tcPr>
          <w:p>
            <w:pPr>
              <w:spacing w:line="440" w:lineRule="atLeast"/>
              <w:ind w:firstLine="422" w:firstLineChars="200"/>
              <w:rPr>
                <w:szCs w:val="21"/>
                <w:highlight w:val="none"/>
              </w:rPr>
            </w:pPr>
            <w:r>
              <w:rPr>
                <w:b/>
                <w:szCs w:val="21"/>
                <w:highlight w:val="none"/>
              </w:rPr>
              <w:t>第二个信封（报价文件）评审标准：</w:t>
            </w:r>
          </w:p>
          <w:p>
            <w:pPr>
              <w:spacing w:line="440" w:lineRule="atLeast"/>
              <w:ind w:firstLine="420" w:firstLineChars="200"/>
              <w:rPr>
                <w:szCs w:val="21"/>
                <w:highlight w:val="none"/>
              </w:rPr>
            </w:pPr>
            <w:r>
              <w:rPr>
                <w:szCs w:val="21"/>
                <w:highlight w:val="none"/>
              </w:rPr>
              <w:t>（1）投标文件按照招标文件规定的格式、内容填写，字迹清晰可辨，内容齐全完整：</w:t>
            </w:r>
          </w:p>
          <w:p>
            <w:pPr>
              <w:spacing w:line="440" w:lineRule="atLeast"/>
              <w:ind w:firstLine="420" w:firstLineChars="200"/>
              <w:rPr>
                <w:szCs w:val="21"/>
                <w:highlight w:val="none"/>
              </w:rPr>
            </w:pPr>
            <w:r>
              <w:rPr>
                <w:szCs w:val="21"/>
                <w:highlight w:val="none"/>
              </w:rPr>
              <w:t>a.投标函按招标文件规定填报了项目名称、标段号、补遗书编号（如有）、投标价（包括大写金额和小写金额）；</w:t>
            </w:r>
          </w:p>
          <w:p>
            <w:pPr>
              <w:spacing w:line="440" w:lineRule="atLeast"/>
              <w:ind w:firstLine="420" w:firstLineChars="200"/>
              <w:rPr>
                <w:szCs w:val="21"/>
                <w:highlight w:val="none"/>
              </w:rPr>
            </w:pPr>
            <w:r>
              <w:rPr>
                <w:szCs w:val="21"/>
                <w:highlight w:val="none"/>
              </w:rPr>
              <w:t>b.已标价服务费用清单说明文字与招标文件规定一致，未进行实质性修改和删减；</w:t>
            </w:r>
          </w:p>
          <w:p>
            <w:pPr>
              <w:spacing w:line="440" w:lineRule="atLeast"/>
              <w:ind w:firstLine="420" w:firstLineChars="200"/>
              <w:rPr>
                <w:szCs w:val="21"/>
                <w:highlight w:val="none"/>
              </w:rPr>
            </w:pPr>
            <w:r>
              <w:rPr>
                <w:szCs w:val="21"/>
                <w:highlight w:val="none"/>
              </w:rPr>
              <w:t>c.投标文件组成齐全完整，内容均按规定填写。</w:t>
            </w:r>
          </w:p>
          <w:p>
            <w:pPr>
              <w:spacing w:line="440" w:lineRule="atLeast"/>
              <w:ind w:firstLine="420" w:firstLineChars="200"/>
              <w:rPr>
                <w:szCs w:val="21"/>
                <w:highlight w:val="none"/>
              </w:rPr>
            </w:pPr>
            <w:r>
              <w:rPr>
                <w:szCs w:val="21"/>
                <w:highlight w:val="none"/>
              </w:rPr>
              <w:t>（2）投标文件上法定代表人或其委托代理人的签字、投标人的单位章盖章齐全，符合招标文件规定。</w:t>
            </w:r>
          </w:p>
          <w:p>
            <w:pPr>
              <w:spacing w:line="440" w:lineRule="atLeast"/>
              <w:ind w:firstLine="420" w:firstLineChars="200"/>
              <w:rPr>
                <w:szCs w:val="21"/>
                <w:highlight w:val="none"/>
              </w:rPr>
            </w:pPr>
            <w:r>
              <w:rPr>
                <w:szCs w:val="21"/>
                <w:highlight w:val="none"/>
              </w:rPr>
              <w:t>（3）投标报价未超过招标文件设定的最高投标限价（如有）。</w:t>
            </w:r>
          </w:p>
          <w:p>
            <w:pPr>
              <w:spacing w:line="440" w:lineRule="atLeast"/>
              <w:ind w:firstLine="420" w:firstLineChars="200"/>
              <w:rPr>
                <w:szCs w:val="21"/>
                <w:highlight w:val="none"/>
              </w:rPr>
            </w:pPr>
            <w:r>
              <w:rPr>
                <w:szCs w:val="21"/>
                <w:highlight w:val="none"/>
              </w:rPr>
              <w:t>（4）投标报价的大写金额能够确定具体数值。</w:t>
            </w:r>
          </w:p>
          <w:p>
            <w:pPr>
              <w:spacing w:line="440" w:lineRule="atLeast"/>
              <w:ind w:firstLine="420" w:firstLineChars="200"/>
              <w:rPr>
                <w:szCs w:val="21"/>
                <w:highlight w:val="none"/>
              </w:rPr>
            </w:pPr>
            <w:r>
              <w:rPr>
                <w:szCs w:val="21"/>
                <w:highlight w:val="none"/>
              </w:rPr>
              <w:t>（5）同一投标人未提交两个以上不同的投标报价，但招标文件要求提交备选投标的除外。</w:t>
            </w:r>
          </w:p>
          <w:p>
            <w:pPr>
              <w:spacing w:line="360" w:lineRule="auto"/>
              <w:ind w:firstLine="420" w:firstLineChars="200"/>
              <w:rPr>
                <w:highlight w:val="none"/>
              </w:rPr>
            </w:pPr>
            <w:r>
              <w:rPr>
                <w:szCs w:val="21"/>
                <w:highlight w:val="none"/>
              </w:rPr>
              <w:t>（6）投标文件正、副本份数符合招标文件第二章“投标人须知”第3.7.4项规定。</w:t>
            </w:r>
          </w:p>
        </w:tc>
      </w:tr>
    </w:tbl>
    <w:p>
      <w:pPr>
        <w:spacing w:line="250" w:lineRule="exact"/>
        <w:rPr>
          <w:highlight w:val="none"/>
        </w:rPr>
        <w:sectPr>
          <w:headerReference r:id="rId13" w:type="default"/>
          <w:footerReference r:id="rId14" w:type="default"/>
          <w:pgSz w:w="11910" w:h="16840"/>
          <w:pgMar w:top="2020" w:right="1120" w:bottom="1200" w:left="1360" w:header="0" w:footer="1011" w:gutter="0"/>
          <w:pgBorders>
            <w:top w:val="none" w:sz="0" w:space="0"/>
            <w:left w:val="none" w:sz="0" w:space="0"/>
            <w:bottom w:val="none" w:sz="0" w:space="0"/>
            <w:right w:val="none" w:sz="0" w:space="0"/>
          </w:pgBorders>
          <w:cols w:space="720" w:num="1"/>
        </w:sectPr>
      </w:pPr>
    </w:p>
    <w:p>
      <w:pPr>
        <w:pStyle w:val="11"/>
        <w:spacing w:before="9"/>
        <w:rPr>
          <w:sz w:val="2"/>
          <w:highlight w:val="none"/>
        </w:rPr>
      </w:pPr>
    </w:p>
    <w:tbl>
      <w:tblPr>
        <w:tblStyle w:val="38"/>
        <w:tblpPr w:leftFromText="180" w:rightFromText="180" w:vertAnchor="text" w:horzAnchor="page" w:tblpX="1498" w:tblpY="368"/>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89"/>
        <w:gridCol w:w="1280"/>
        <w:gridCol w:w="66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2269" w:type="dxa"/>
            <w:gridSpan w:val="2"/>
            <w:vAlign w:val="center"/>
          </w:tcPr>
          <w:p>
            <w:pPr>
              <w:jc w:val="center"/>
              <w:rPr>
                <w:b/>
                <w:bCs/>
                <w:highlight w:val="none"/>
              </w:rPr>
            </w:pPr>
            <w:r>
              <w:rPr>
                <w:b/>
                <w:bCs/>
                <w:highlight w:val="none"/>
              </w:rPr>
              <w:t>条款号</w:t>
            </w:r>
          </w:p>
        </w:tc>
        <w:tc>
          <w:tcPr>
            <w:tcW w:w="6622" w:type="dxa"/>
            <w:vAlign w:val="center"/>
          </w:tcPr>
          <w:p>
            <w:pPr>
              <w:jc w:val="center"/>
              <w:rPr>
                <w:b/>
                <w:bCs/>
                <w:highlight w:val="none"/>
              </w:rPr>
            </w:pPr>
            <w:r>
              <w:rPr>
                <w:b/>
                <w:bCs/>
                <w:highlight w:val="none"/>
              </w:rPr>
              <w:t>评审因素与评审标准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5" w:hRule="atLeast"/>
        </w:trPr>
        <w:tc>
          <w:tcPr>
            <w:tcW w:w="989" w:type="dxa"/>
            <w:tcMar>
              <w:top w:w="57" w:type="dxa"/>
              <w:left w:w="57" w:type="dxa"/>
              <w:bottom w:w="57" w:type="dxa"/>
              <w:right w:w="57" w:type="dxa"/>
            </w:tcMar>
          </w:tcPr>
          <w:p>
            <w:pPr>
              <w:pStyle w:val="105"/>
              <w:rPr>
                <w:rFonts w:ascii="Times New Roman"/>
                <w:sz w:val="22"/>
                <w:highlight w:val="none"/>
              </w:rPr>
            </w:pPr>
          </w:p>
          <w:p>
            <w:pPr>
              <w:pStyle w:val="105"/>
              <w:rPr>
                <w:rFonts w:ascii="Times New Roman"/>
                <w:sz w:val="22"/>
                <w:highlight w:val="none"/>
              </w:rPr>
            </w:pPr>
          </w:p>
          <w:p>
            <w:pPr>
              <w:pStyle w:val="105"/>
              <w:rPr>
                <w:rFonts w:ascii="Times New Roman"/>
                <w:sz w:val="22"/>
                <w:highlight w:val="none"/>
              </w:rPr>
            </w:pPr>
          </w:p>
          <w:p>
            <w:pPr>
              <w:pStyle w:val="105"/>
              <w:rPr>
                <w:rFonts w:ascii="Times New Roman"/>
                <w:sz w:val="22"/>
                <w:highlight w:val="none"/>
              </w:rPr>
            </w:pPr>
          </w:p>
          <w:p>
            <w:pPr>
              <w:pStyle w:val="105"/>
              <w:rPr>
                <w:rFonts w:ascii="Times New Roman"/>
                <w:sz w:val="22"/>
                <w:highlight w:val="none"/>
              </w:rPr>
            </w:pPr>
          </w:p>
          <w:p>
            <w:pPr>
              <w:pStyle w:val="105"/>
              <w:rPr>
                <w:rFonts w:ascii="Times New Roman"/>
                <w:sz w:val="22"/>
                <w:highlight w:val="none"/>
              </w:rPr>
            </w:pPr>
          </w:p>
          <w:p>
            <w:pPr>
              <w:pStyle w:val="105"/>
              <w:spacing w:before="3"/>
              <w:rPr>
                <w:rFonts w:ascii="Times New Roman"/>
                <w:sz w:val="31"/>
                <w:highlight w:val="none"/>
              </w:rPr>
            </w:pPr>
          </w:p>
          <w:p>
            <w:pPr>
              <w:pStyle w:val="105"/>
              <w:ind w:left="285"/>
              <w:rPr>
                <w:rFonts w:ascii="Times New Roman"/>
                <w:highlight w:val="none"/>
              </w:rPr>
            </w:pPr>
            <w:r>
              <w:rPr>
                <w:rFonts w:ascii="Times New Roman"/>
                <w:highlight w:val="none"/>
              </w:rPr>
              <w:t>2.1.2</w:t>
            </w:r>
          </w:p>
        </w:tc>
        <w:tc>
          <w:tcPr>
            <w:tcW w:w="1280" w:type="dxa"/>
            <w:tcMar>
              <w:top w:w="57" w:type="dxa"/>
              <w:left w:w="57" w:type="dxa"/>
              <w:bottom w:w="57" w:type="dxa"/>
              <w:right w:w="57" w:type="dxa"/>
            </w:tcMar>
          </w:tcPr>
          <w:p>
            <w:pPr>
              <w:pStyle w:val="105"/>
              <w:rPr>
                <w:rFonts w:ascii="Times New Roman"/>
                <w:sz w:val="22"/>
                <w:highlight w:val="none"/>
              </w:rPr>
            </w:pPr>
          </w:p>
          <w:p>
            <w:pPr>
              <w:pStyle w:val="105"/>
              <w:rPr>
                <w:rFonts w:ascii="Times New Roman"/>
                <w:sz w:val="22"/>
                <w:highlight w:val="none"/>
              </w:rPr>
            </w:pPr>
          </w:p>
          <w:p>
            <w:pPr>
              <w:pStyle w:val="105"/>
              <w:rPr>
                <w:rFonts w:ascii="Times New Roman"/>
                <w:sz w:val="22"/>
                <w:highlight w:val="none"/>
              </w:rPr>
            </w:pPr>
          </w:p>
          <w:p>
            <w:pPr>
              <w:pStyle w:val="105"/>
              <w:rPr>
                <w:rFonts w:ascii="Times New Roman"/>
                <w:sz w:val="22"/>
                <w:highlight w:val="none"/>
              </w:rPr>
            </w:pPr>
          </w:p>
          <w:p>
            <w:pPr>
              <w:pStyle w:val="105"/>
              <w:rPr>
                <w:rFonts w:ascii="Times New Roman"/>
                <w:sz w:val="22"/>
                <w:highlight w:val="none"/>
              </w:rPr>
            </w:pPr>
          </w:p>
          <w:p>
            <w:pPr>
              <w:pStyle w:val="105"/>
              <w:spacing w:before="7"/>
              <w:rPr>
                <w:rFonts w:ascii="Times New Roman"/>
                <w:sz w:val="31"/>
                <w:highlight w:val="none"/>
              </w:rPr>
            </w:pPr>
          </w:p>
          <w:p>
            <w:pPr>
              <w:pStyle w:val="105"/>
              <w:spacing w:line="396" w:lineRule="auto"/>
              <w:ind w:left="481" w:right="104" w:hanging="368"/>
              <w:rPr>
                <w:sz w:val="10"/>
                <w:highlight w:val="none"/>
              </w:rPr>
            </w:pPr>
            <w:r>
              <w:rPr>
                <w:highlight w:val="none"/>
              </w:rPr>
              <w:t>资格评审标</w:t>
            </w:r>
            <w:r>
              <w:rPr>
                <w:position w:val="-10"/>
                <w:highlight w:val="none"/>
              </w:rPr>
              <w:t>准</w:t>
            </w:r>
            <w:r>
              <w:rPr>
                <w:highlight w:val="none"/>
              </w:rPr>
              <w:fldChar w:fldCharType="begin"/>
            </w:r>
            <w:r>
              <w:rPr>
                <w:highlight w:val="none"/>
              </w:rPr>
              <w:instrText xml:space="preserve"> HYPERLINK \l "_bookmark51" </w:instrText>
            </w:r>
            <w:r>
              <w:rPr>
                <w:highlight w:val="none"/>
              </w:rPr>
              <w:fldChar w:fldCharType="separate"/>
            </w:r>
            <w:r>
              <w:rPr>
                <w:sz w:val="10"/>
                <w:highlight w:val="none"/>
              </w:rPr>
              <w:t>①</w:t>
            </w:r>
            <w:r>
              <w:rPr>
                <w:sz w:val="10"/>
                <w:highlight w:val="none"/>
              </w:rPr>
              <w:fldChar w:fldCharType="end"/>
            </w:r>
          </w:p>
        </w:tc>
        <w:tc>
          <w:tcPr>
            <w:tcW w:w="6622" w:type="dxa"/>
            <w:tcMar>
              <w:top w:w="57" w:type="dxa"/>
              <w:left w:w="57" w:type="dxa"/>
              <w:bottom w:w="57" w:type="dxa"/>
              <w:right w:w="57" w:type="dxa"/>
            </w:tcMar>
          </w:tcPr>
          <w:p>
            <w:pPr>
              <w:pStyle w:val="105"/>
              <w:spacing w:before="3"/>
              <w:rPr>
                <w:rFonts w:ascii="Times New Roman"/>
                <w:sz w:val="17"/>
                <w:highlight w:val="none"/>
              </w:rPr>
            </w:pPr>
          </w:p>
          <w:p>
            <w:pPr>
              <w:pStyle w:val="105"/>
              <w:spacing w:line="221" w:lineRule="exact"/>
              <w:ind w:left="526"/>
              <w:rPr>
                <w:rFonts w:ascii="Times New Roman" w:hAnsi="Times New Roman"/>
                <w:highlight w:val="none"/>
              </w:rPr>
            </w:pPr>
            <w:r>
              <w:rPr>
                <w:rFonts w:ascii="Times New Roman" w:hAnsi="Times New Roman"/>
                <w:highlight w:val="none"/>
              </w:rPr>
              <w:t>……</w:t>
            </w:r>
          </w:p>
          <w:p>
            <w:pPr>
              <w:spacing w:line="440" w:lineRule="atLeast"/>
              <w:ind w:firstLine="420" w:firstLineChars="200"/>
              <w:rPr>
                <w:szCs w:val="21"/>
                <w:highlight w:val="none"/>
              </w:rPr>
            </w:pPr>
            <w:r>
              <w:rPr>
                <w:szCs w:val="21"/>
                <w:highlight w:val="none"/>
              </w:rPr>
              <w:t>（1）投标人具备有效的营业执照、</w:t>
            </w:r>
            <w:r>
              <w:rPr>
                <w:highlight w:val="none"/>
              </w:rPr>
              <w:t>组织机构代码证、</w:t>
            </w:r>
            <w:r>
              <w:rPr>
                <w:szCs w:val="21"/>
                <w:highlight w:val="none"/>
              </w:rPr>
              <w:t>资质证书（如需要）和基本账户开户许可证。</w:t>
            </w:r>
          </w:p>
          <w:p>
            <w:pPr>
              <w:spacing w:line="440" w:lineRule="atLeast"/>
              <w:ind w:firstLine="420" w:firstLineChars="200"/>
              <w:rPr>
                <w:szCs w:val="21"/>
                <w:highlight w:val="none"/>
              </w:rPr>
            </w:pPr>
            <w:r>
              <w:rPr>
                <w:szCs w:val="21"/>
                <w:highlight w:val="none"/>
              </w:rPr>
              <w:t>（2）投标人的资质等级符合招标文件规定。</w:t>
            </w:r>
          </w:p>
          <w:p>
            <w:pPr>
              <w:spacing w:line="440" w:lineRule="atLeast"/>
              <w:ind w:firstLine="420" w:firstLineChars="200"/>
              <w:rPr>
                <w:szCs w:val="21"/>
                <w:highlight w:val="none"/>
              </w:rPr>
            </w:pPr>
            <w:r>
              <w:rPr>
                <w:szCs w:val="21"/>
                <w:highlight w:val="none"/>
              </w:rPr>
              <w:t>（3）投标人的类似项目业绩符合招标文件规定。</w:t>
            </w:r>
          </w:p>
          <w:p>
            <w:pPr>
              <w:spacing w:line="440" w:lineRule="atLeast"/>
              <w:ind w:firstLine="420" w:firstLineChars="200"/>
              <w:rPr>
                <w:szCs w:val="21"/>
                <w:highlight w:val="none"/>
              </w:rPr>
            </w:pPr>
            <w:r>
              <w:rPr>
                <w:szCs w:val="21"/>
                <w:highlight w:val="none"/>
              </w:rPr>
              <w:t>（4）投标人的信誉符合招标文件规定。</w:t>
            </w:r>
          </w:p>
          <w:p>
            <w:pPr>
              <w:spacing w:line="440" w:lineRule="atLeast"/>
              <w:ind w:firstLine="420" w:firstLineChars="200"/>
              <w:rPr>
                <w:szCs w:val="21"/>
                <w:highlight w:val="none"/>
              </w:rPr>
            </w:pPr>
            <w:r>
              <w:rPr>
                <w:szCs w:val="21"/>
                <w:highlight w:val="none"/>
              </w:rPr>
              <w:t>（5）投标人的项目负责人资格符合招标文件规定。</w:t>
            </w:r>
          </w:p>
          <w:p>
            <w:pPr>
              <w:spacing w:line="440" w:lineRule="atLeast"/>
              <w:ind w:firstLine="420" w:firstLineChars="200"/>
              <w:rPr>
                <w:szCs w:val="21"/>
                <w:highlight w:val="none"/>
              </w:rPr>
            </w:pPr>
            <w:r>
              <w:rPr>
                <w:szCs w:val="21"/>
                <w:highlight w:val="none"/>
              </w:rPr>
              <w:t>（6）投标人的其他要求符合招标文件规定。</w:t>
            </w:r>
            <w:r>
              <w:rPr>
                <w:szCs w:val="21"/>
                <w:highlight w:val="none"/>
                <w:vertAlign w:val="superscript"/>
              </w:rPr>
              <w:footnoteReference w:id="11"/>
            </w:r>
          </w:p>
          <w:p>
            <w:pPr>
              <w:spacing w:line="440" w:lineRule="atLeast"/>
              <w:ind w:firstLine="420" w:firstLineChars="200"/>
              <w:rPr>
                <w:szCs w:val="21"/>
                <w:highlight w:val="none"/>
              </w:rPr>
            </w:pPr>
            <w:r>
              <w:rPr>
                <w:szCs w:val="21"/>
                <w:highlight w:val="none"/>
              </w:rPr>
              <w:t>（7）投标人不存在第二章“投标人须知”第1.4.3项或第1.4.4项规定的任何一种情形。</w:t>
            </w:r>
          </w:p>
          <w:p>
            <w:pPr>
              <w:spacing w:line="440" w:lineRule="atLeast"/>
              <w:ind w:firstLine="420" w:firstLineChars="200"/>
              <w:rPr>
                <w:szCs w:val="21"/>
                <w:highlight w:val="none"/>
              </w:rPr>
            </w:pPr>
            <w:r>
              <w:rPr>
                <w:szCs w:val="21"/>
                <w:highlight w:val="none"/>
              </w:rPr>
              <w:t>（8）以联合体形式参与投标的，联合体各方均未再以自己名义单独或参加其他联合体在同一标段中投标；独立参与投标的，投标人未同时参加联合体在同一标段中投标。</w:t>
            </w:r>
          </w:p>
          <w:p>
            <w:pPr>
              <w:spacing w:line="360" w:lineRule="auto"/>
              <w:ind w:firstLine="630" w:firstLineChars="300"/>
              <w:rPr>
                <w:highlight w:val="none"/>
              </w:rPr>
            </w:pPr>
          </w:p>
        </w:tc>
      </w:tr>
    </w:tbl>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p>
      <w:pPr>
        <w:pStyle w:val="11"/>
        <w:rPr>
          <w:sz w:val="20"/>
          <w:highlight w:val="none"/>
        </w:rPr>
      </w:pPr>
    </w:p>
    <w:tbl>
      <w:tblPr>
        <w:tblStyle w:val="38"/>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9"/>
        <w:gridCol w:w="1417"/>
        <w:gridCol w:w="65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959" w:type="dxa"/>
            <w:vAlign w:val="center"/>
          </w:tcPr>
          <w:p>
            <w:pPr>
              <w:jc w:val="center"/>
              <w:rPr>
                <w:b/>
                <w:bCs/>
                <w:highlight w:val="none"/>
              </w:rPr>
            </w:pPr>
            <w:r>
              <w:rPr>
                <w:b/>
                <w:bCs/>
                <w:highlight w:val="none"/>
              </w:rPr>
              <w:t>条款号</w:t>
            </w:r>
          </w:p>
        </w:tc>
        <w:tc>
          <w:tcPr>
            <w:tcW w:w="1417" w:type="dxa"/>
            <w:vAlign w:val="center"/>
          </w:tcPr>
          <w:p>
            <w:pPr>
              <w:jc w:val="center"/>
              <w:rPr>
                <w:b/>
                <w:bCs/>
                <w:highlight w:val="none"/>
              </w:rPr>
            </w:pPr>
            <w:r>
              <w:rPr>
                <w:b/>
                <w:bCs/>
                <w:highlight w:val="none"/>
              </w:rPr>
              <w:t>条款内容</w:t>
            </w:r>
          </w:p>
        </w:tc>
        <w:tc>
          <w:tcPr>
            <w:tcW w:w="6515" w:type="dxa"/>
            <w:vAlign w:val="center"/>
          </w:tcPr>
          <w:p>
            <w:pPr>
              <w:jc w:val="center"/>
              <w:rPr>
                <w:b/>
                <w:bCs/>
                <w:highlight w:val="none"/>
              </w:rPr>
            </w:pPr>
            <w:r>
              <w:rPr>
                <w:b/>
                <w:bCs/>
                <w:highlight w:val="none"/>
              </w:rPr>
              <w:t>编列内容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10" w:hRule="atLeast"/>
        </w:trPr>
        <w:tc>
          <w:tcPr>
            <w:tcW w:w="959" w:type="dxa"/>
          </w:tcPr>
          <w:p>
            <w:pPr>
              <w:pStyle w:val="105"/>
              <w:rPr>
                <w:rFonts w:ascii="黑体"/>
                <w:sz w:val="22"/>
                <w:highlight w:val="none"/>
              </w:rPr>
            </w:pPr>
          </w:p>
          <w:p>
            <w:pPr>
              <w:pStyle w:val="105"/>
              <w:rPr>
                <w:rFonts w:ascii="黑体"/>
                <w:sz w:val="22"/>
                <w:highlight w:val="none"/>
              </w:rPr>
            </w:pPr>
          </w:p>
          <w:p>
            <w:pPr>
              <w:pStyle w:val="105"/>
              <w:rPr>
                <w:rFonts w:ascii="黑体"/>
                <w:sz w:val="22"/>
                <w:highlight w:val="none"/>
              </w:rPr>
            </w:pPr>
          </w:p>
          <w:p>
            <w:pPr>
              <w:pStyle w:val="105"/>
              <w:rPr>
                <w:rFonts w:ascii="黑体"/>
                <w:sz w:val="22"/>
                <w:highlight w:val="none"/>
              </w:rPr>
            </w:pPr>
          </w:p>
          <w:p>
            <w:pPr>
              <w:pStyle w:val="105"/>
              <w:spacing w:before="11"/>
              <w:rPr>
                <w:rFonts w:ascii="黑体"/>
                <w:sz w:val="23"/>
                <w:highlight w:val="none"/>
              </w:rPr>
            </w:pPr>
          </w:p>
          <w:p>
            <w:pPr>
              <w:pStyle w:val="105"/>
              <w:ind w:left="142" w:right="133"/>
              <w:jc w:val="center"/>
              <w:rPr>
                <w:rFonts w:ascii="Times New Roman"/>
                <w:highlight w:val="none"/>
              </w:rPr>
            </w:pPr>
            <w:r>
              <w:rPr>
                <w:rFonts w:ascii="Times New Roman"/>
                <w:highlight w:val="none"/>
              </w:rPr>
              <w:t>2.2.1</w:t>
            </w:r>
          </w:p>
        </w:tc>
        <w:tc>
          <w:tcPr>
            <w:tcW w:w="1417" w:type="dxa"/>
          </w:tcPr>
          <w:p>
            <w:pPr>
              <w:pStyle w:val="105"/>
              <w:rPr>
                <w:rFonts w:ascii="黑体"/>
                <w:sz w:val="20"/>
                <w:highlight w:val="none"/>
              </w:rPr>
            </w:pPr>
          </w:p>
          <w:p>
            <w:pPr>
              <w:pStyle w:val="105"/>
              <w:rPr>
                <w:rFonts w:ascii="黑体"/>
                <w:sz w:val="20"/>
                <w:highlight w:val="none"/>
              </w:rPr>
            </w:pPr>
          </w:p>
          <w:p>
            <w:pPr>
              <w:pStyle w:val="105"/>
              <w:rPr>
                <w:rFonts w:ascii="黑体"/>
                <w:sz w:val="20"/>
                <w:highlight w:val="none"/>
              </w:rPr>
            </w:pPr>
          </w:p>
          <w:p>
            <w:pPr>
              <w:pStyle w:val="105"/>
              <w:rPr>
                <w:rFonts w:ascii="黑体"/>
                <w:sz w:val="20"/>
                <w:highlight w:val="none"/>
              </w:rPr>
            </w:pPr>
          </w:p>
          <w:p>
            <w:pPr>
              <w:pStyle w:val="105"/>
              <w:rPr>
                <w:rFonts w:ascii="黑体"/>
                <w:sz w:val="20"/>
                <w:highlight w:val="none"/>
              </w:rPr>
            </w:pPr>
          </w:p>
          <w:p>
            <w:pPr>
              <w:pStyle w:val="105"/>
              <w:spacing w:before="2"/>
              <w:rPr>
                <w:rFonts w:ascii="黑体"/>
                <w:sz w:val="16"/>
                <w:highlight w:val="none"/>
              </w:rPr>
            </w:pPr>
          </w:p>
          <w:p>
            <w:pPr>
              <w:pStyle w:val="105"/>
              <w:ind w:left="162" w:right="154"/>
              <w:jc w:val="center"/>
              <w:rPr>
                <w:highlight w:val="none"/>
              </w:rPr>
            </w:pPr>
            <w:r>
              <w:rPr>
                <w:highlight w:val="none"/>
              </w:rPr>
              <w:t>分值构成</w:t>
            </w:r>
          </w:p>
          <w:p>
            <w:pPr>
              <w:pStyle w:val="105"/>
              <w:spacing w:before="170"/>
              <w:ind w:left="3"/>
              <w:rPr>
                <w:highlight w:val="none"/>
              </w:rPr>
            </w:pPr>
            <w:r>
              <w:rPr>
                <w:highlight w:val="none"/>
              </w:rPr>
              <w:t xml:space="preserve">（总分 </w:t>
            </w:r>
            <w:r>
              <w:rPr>
                <w:rFonts w:ascii="Times New Roman" w:eastAsia="Times New Roman"/>
                <w:highlight w:val="none"/>
              </w:rPr>
              <w:t xml:space="preserve">100 </w:t>
            </w:r>
            <w:r>
              <w:rPr>
                <w:highlight w:val="none"/>
              </w:rPr>
              <w:t>分</w:t>
            </w:r>
          </w:p>
          <w:p>
            <w:pPr>
              <w:pStyle w:val="105"/>
              <w:spacing w:before="177"/>
              <w:ind w:left="10"/>
              <w:jc w:val="center"/>
              <w:rPr>
                <w:sz w:val="10"/>
                <w:highlight w:val="none"/>
              </w:rPr>
            </w:pPr>
          </w:p>
        </w:tc>
        <w:tc>
          <w:tcPr>
            <w:tcW w:w="6515" w:type="dxa"/>
          </w:tcPr>
          <w:p>
            <w:pPr>
              <w:pStyle w:val="105"/>
              <w:spacing w:before="169"/>
              <w:ind w:left="527"/>
              <w:rPr>
                <w:b/>
                <w:highlight w:val="none"/>
              </w:rPr>
            </w:pPr>
            <w:r>
              <w:rPr>
                <w:b/>
                <w:highlight w:val="none"/>
              </w:rPr>
              <w:t>第一个信封（商务及技术文件）评分分值构成：</w:t>
            </w:r>
          </w:p>
          <w:p>
            <w:pPr>
              <w:pStyle w:val="105"/>
              <w:tabs>
                <w:tab w:val="left" w:pos="2207"/>
                <w:tab w:val="left" w:pos="2313"/>
                <w:tab w:val="left" w:pos="2416"/>
              </w:tabs>
              <w:spacing w:before="83"/>
              <w:ind w:left="527" w:right="2660"/>
              <w:rPr>
                <w:spacing w:val="-14"/>
                <w:highlight w:val="none"/>
              </w:rPr>
            </w:pPr>
            <w:r>
              <w:rPr>
                <w:highlight w:val="none"/>
              </w:rPr>
              <w:t>技术建议书：</w:t>
            </w:r>
            <w:r>
              <w:rPr>
                <w:highlight w:val="none"/>
                <w:u w:val="single"/>
              </w:rPr>
              <w:t xml:space="preserve"> </w:t>
            </w:r>
            <w:r>
              <w:rPr>
                <w:rFonts w:hint="eastAsia"/>
                <w:highlight w:val="none"/>
                <w:u w:val="single"/>
                <w:lang w:val="en-US"/>
              </w:rPr>
              <w:t>35</w:t>
            </w:r>
            <w:r>
              <w:rPr>
                <w:highlight w:val="none"/>
                <w:u w:val="single"/>
              </w:rPr>
              <w:tab/>
            </w:r>
            <w:r>
              <w:rPr>
                <w:highlight w:val="none"/>
              </w:rPr>
              <w:t>分（</w:t>
            </w:r>
            <w:r>
              <w:rPr>
                <w:rFonts w:ascii="Times New Roman" w:hAnsi="Times New Roman" w:eastAsia="Times New Roman"/>
                <w:highlight w:val="none"/>
              </w:rPr>
              <w:t>25~35</w:t>
            </w:r>
            <w:r>
              <w:rPr>
                <w:rFonts w:ascii="Times New Roman" w:hAnsi="Times New Roman" w:eastAsia="Times New Roman"/>
                <w:spacing w:val="-2"/>
                <w:highlight w:val="none"/>
              </w:rPr>
              <w:t xml:space="preserve"> </w:t>
            </w:r>
            <w:r>
              <w:rPr>
                <w:highlight w:val="none"/>
              </w:rPr>
              <w:t>分</w:t>
            </w:r>
            <w:r>
              <w:rPr>
                <w:spacing w:val="-14"/>
                <w:highlight w:val="none"/>
              </w:rPr>
              <w:t xml:space="preserve">） </w:t>
            </w:r>
          </w:p>
          <w:p>
            <w:pPr>
              <w:pStyle w:val="105"/>
              <w:tabs>
                <w:tab w:val="left" w:pos="2207"/>
                <w:tab w:val="left" w:pos="2313"/>
                <w:tab w:val="left" w:pos="2416"/>
              </w:tabs>
              <w:spacing w:before="83"/>
              <w:ind w:left="527" w:right="2660"/>
              <w:rPr>
                <w:highlight w:val="none"/>
              </w:rPr>
            </w:pPr>
            <w:r>
              <w:rPr>
                <w:highlight w:val="none"/>
              </w:rPr>
              <w:t>主要人员：</w:t>
            </w:r>
            <w:r>
              <w:rPr>
                <w:highlight w:val="none"/>
                <w:u w:val="single"/>
              </w:rPr>
              <w:t xml:space="preserve"> </w:t>
            </w:r>
            <w:r>
              <w:rPr>
                <w:rFonts w:hint="eastAsia"/>
                <w:highlight w:val="none"/>
                <w:u w:val="single"/>
                <w:lang w:val="en-US"/>
              </w:rPr>
              <w:t>30</w:t>
            </w:r>
            <w:r>
              <w:rPr>
                <w:highlight w:val="none"/>
              </w:rPr>
              <w:t>分（</w:t>
            </w:r>
            <w:r>
              <w:rPr>
                <w:rFonts w:ascii="Times New Roman" w:hAnsi="Times New Roman" w:eastAsia="Times New Roman"/>
                <w:highlight w:val="none"/>
              </w:rPr>
              <w:t>25~40</w:t>
            </w:r>
            <w:r>
              <w:rPr>
                <w:rFonts w:ascii="Times New Roman" w:hAnsi="Times New Roman" w:eastAsia="Times New Roman"/>
                <w:spacing w:val="-2"/>
                <w:highlight w:val="none"/>
              </w:rPr>
              <w:t xml:space="preserve"> </w:t>
            </w:r>
            <w:r>
              <w:rPr>
                <w:highlight w:val="none"/>
              </w:rPr>
              <w:t xml:space="preserve">分） </w:t>
            </w:r>
          </w:p>
          <w:p>
            <w:pPr>
              <w:pStyle w:val="105"/>
              <w:tabs>
                <w:tab w:val="left" w:pos="527"/>
                <w:tab w:val="left" w:pos="1787"/>
              </w:tabs>
              <w:ind w:left="-154"/>
              <w:rPr>
                <w:highlight w:val="none"/>
              </w:rPr>
            </w:pPr>
            <w:r>
              <w:rPr>
                <w:highlight w:val="none"/>
              </w:rPr>
              <w:t>）</w:t>
            </w:r>
            <w:r>
              <w:rPr>
                <w:highlight w:val="none"/>
              </w:rPr>
              <w:tab/>
            </w:r>
            <w:r>
              <w:rPr>
                <w:highlight w:val="none"/>
              </w:rPr>
              <w:t>业绩：</w:t>
            </w:r>
            <w:r>
              <w:rPr>
                <w:rFonts w:hint="eastAsia"/>
                <w:highlight w:val="none"/>
                <w:u w:val="single"/>
                <w:lang w:val="en-US"/>
              </w:rPr>
              <w:t xml:space="preserve"> 20</w:t>
            </w:r>
            <w:r>
              <w:rPr>
                <w:highlight w:val="none"/>
              </w:rPr>
              <w:t>分（</w:t>
            </w:r>
            <w:r>
              <w:rPr>
                <w:rFonts w:ascii="Times New Roman" w:eastAsia="Times New Roman"/>
                <w:highlight w:val="none"/>
              </w:rPr>
              <w:t>10~25</w:t>
            </w:r>
            <w:r>
              <w:rPr>
                <w:rFonts w:ascii="Times New Roman" w:eastAsia="Times New Roman"/>
                <w:spacing w:val="-2"/>
                <w:highlight w:val="none"/>
              </w:rPr>
              <w:t xml:space="preserve"> </w:t>
            </w:r>
            <w:r>
              <w:rPr>
                <w:highlight w:val="none"/>
              </w:rPr>
              <w:t>分）</w:t>
            </w:r>
          </w:p>
          <w:p>
            <w:pPr>
              <w:pStyle w:val="105"/>
              <w:tabs>
                <w:tab w:val="left" w:pos="2207"/>
              </w:tabs>
              <w:spacing w:before="172"/>
              <w:ind w:left="527"/>
              <w:rPr>
                <w:b/>
                <w:highlight w:val="none"/>
              </w:rPr>
            </w:pPr>
            <w:r>
              <w:rPr>
                <w:highlight w:val="none"/>
              </w:rPr>
              <w:t>履约信誉：</w:t>
            </w:r>
            <w:r>
              <w:rPr>
                <w:highlight w:val="none"/>
                <w:u w:val="single"/>
              </w:rPr>
              <w:t xml:space="preserve"> </w:t>
            </w:r>
            <w:r>
              <w:rPr>
                <w:rFonts w:hint="eastAsia"/>
                <w:highlight w:val="none"/>
                <w:u w:val="single"/>
                <w:lang w:val="en-US"/>
              </w:rPr>
              <w:t>5</w:t>
            </w:r>
            <w:r>
              <w:rPr>
                <w:highlight w:val="none"/>
              </w:rPr>
              <w:t>分（</w:t>
            </w:r>
            <w:r>
              <w:rPr>
                <w:rFonts w:ascii="Times New Roman" w:eastAsia="Times New Roman"/>
                <w:highlight w:val="none"/>
              </w:rPr>
              <w:t>5~10</w:t>
            </w:r>
            <w:r>
              <w:rPr>
                <w:rFonts w:ascii="Times New Roman" w:eastAsia="Times New Roman"/>
                <w:spacing w:val="-2"/>
                <w:highlight w:val="none"/>
              </w:rPr>
              <w:t xml:space="preserve"> </w:t>
            </w:r>
            <w:r>
              <w:rPr>
                <w:highlight w:val="none"/>
              </w:rPr>
              <w:t>分）</w:t>
            </w:r>
          </w:p>
          <w:p>
            <w:pPr>
              <w:pStyle w:val="105"/>
              <w:tabs>
                <w:tab w:val="left" w:pos="2627"/>
              </w:tabs>
              <w:spacing w:before="26"/>
              <w:ind w:left="527" w:right="2183"/>
              <w:rPr>
                <w:b/>
                <w:spacing w:val="-13"/>
                <w:highlight w:val="none"/>
              </w:rPr>
            </w:pPr>
            <w:r>
              <w:rPr>
                <w:b/>
                <w:highlight w:val="none"/>
              </w:rPr>
              <w:t>第二个信封（报价文件）评分分值构成</w:t>
            </w:r>
            <w:r>
              <w:rPr>
                <w:b/>
                <w:spacing w:val="-13"/>
                <w:highlight w:val="none"/>
              </w:rPr>
              <w:t xml:space="preserve">： </w:t>
            </w:r>
          </w:p>
          <w:p>
            <w:pPr>
              <w:pStyle w:val="105"/>
              <w:tabs>
                <w:tab w:val="left" w:pos="2627"/>
              </w:tabs>
              <w:spacing w:before="26"/>
              <w:ind w:left="527" w:right="2183"/>
              <w:rPr>
                <w:highlight w:val="none"/>
              </w:rPr>
            </w:pPr>
            <w:r>
              <w:rPr>
                <w:highlight w:val="none"/>
              </w:rPr>
              <w:t>评标价：</w:t>
            </w:r>
            <w:r>
              <w:rPr>
                <w:highlight w:val="none"/>
                <w:u w:val="single"/>
              </w:rPr>
              <w:t xml:space="preserve"> </w:t>
            </w:r>
            <w:r>
              <w:rPr>
                <w:rFonts w:hint="eastAsia"/>
                <w:highlight w:val="none"/>
                <w:u w:val="single"/>
                <w:lang w:val="en-US"/>
              </w:rPr>
              <w:t>10</w:t>
            </w:r>
            <w:r>
              <w:rPr>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93" w:hRule="atLeast"/>
        </w:trPr>
        <w:tc>
          <w:tcPr>
            <w:tcW w:w="959" w:type="dxa"/>
            <w:vAlign w:val="center"/>
          </w:tcPr>
          <w:p>
            <w:pPr>
              <w:pStyle w:val="105"/>
              <w:ind w:left="142" w:right="133"/>
              <w:jc w:val="center"/>
              <w:rPr>
                <w:rFonts w:ascii="Times New Roman"/>
                <w:highlight w:val="none"/>
              </w:rPr>
            </w:pPr>
            <w:r>
              <w:rPr>
                <w:rFonts w:ascii="Times New Roman"/>
                <w:highlight w:val="none"/>
              </w:rPr>
              <w:t>2.2.2</w:t>
            </w:r>
          </w:p>
        </w:tc>
        <w:tc>
          <w:tcPr>
            <w:tcW w:w="1417" w:type="dxa"/>
            <w:tcMar>
              <w:top w:w="57" w:type="dxa"/>
              <w:left w:w="57" w:type="dxa"/>
              <w:bottom w:w="57" w:type="dxa"/>
              <w:right w:w="57" w:type="dxa"/>
            </w:tcMar>
            <w:vAlign w:val="center"/>
          </w:tcPr>
          <w:p>
            <w:pPr>
              <w:jc w:val="center"/>
              <w:rPr>
                <w:highlight w:val="none"/>
              </w:rPr>
            </w:pPr>
            <w:r>
              <w:rPr>
                <w:highlight w:val="none"/>
              </w:rPr>
              <w:t>评标基准价</w:t>
            </w:r>
          </w:p>
          <w:p>
            <w:pPr>
              <w:jc w:val="center"/>
              <w:rPr>
                <w:highlight w:val="none"/>
              </w:rPr>
            </w:pPr>
          </w:p>
          <w:p>
            <w:pPr>
              <w:jc w:val="center"/>
              <w:rPr>
                <w:highlight w:val="none"/>
              </w:rPr>
            </w:pPr>
            <w:r>
              <w:rPr>
                <w:highlight w:val="none"/>
              </w:rPr>
              <w:t>计算方法</w:t>
            </w:r>
          </w:p>
        </w:tc>
        <w:tc>
          <w:tcPr>
            <w:tcW w:w="6515" w:type="dxa"/>
            <w:tcMar>
              <w:top w:w="57" w:type="dxa"/>
              <w:left w:w="57" w:type="dxa"/>
              <w:bottom w:w="57" w:type="dxa"/>
              <w:right w:w="57" w:type="dxa"/>
            </w:tcMar>
          </w:tcPr>
          <w:p>
            <w:pPr>
              <w:spacing w:line="360" w:lineRule="auto"/>
              <w:rPr>
                <w:highlight w:val="none"/>
              </w:rPr>
            </w:pPr>
            <w:r>
              <w:rPr>
                <w:rFonts w:hint="eastAsia"/>
                <w:highlight w:val="none"/>
              </w:rPr>
              <w:t>评标基准价计算方法：</w:t>
            </w:r>
          </w:p>
          <w:p>
            <w:pPr>
              <w:spacing w:line="360" w:lineRule="auto"/>
              <w:rPr>
                <w:highlight w:val="none"/>
              </w:rPr>
            </w:pPr>
            <w:r>
              <w:rPr>
                <w:rFonts w:hint="eastAsia"/>
                <w:highlight w:val="none"/>
              </w:rPr>
              <w:t>在开标现场，招标人将当场计算并宣布评标基准价。</w:t>
            </w:r>
          </w:p>
          <w:p>
            <w:pPr>
              <w:numPr>
                <w:ilvl w:val="0"/>
                <w:numId w:val="3"/>
              </w:numPr>
              <w:spacing w:line="360" w:lineRule="auto"/>
              <w:rPr>
                <w:highlight w:val="none"/>
              </w:rPr>
            </w:pPr>
            <w:r>
              <w:rPr>
                <w:rFonts w:hint="eastAsia"/>
                <w:highlight w:val="none"/>
              </w:rPr>
              <w:t>评标价的确定：评标价=投标函文字报价</w:t>
            </w:r>
          </w:p>
          <w:p>
            <w:pPr>
              <w:spacing w:line="360" w:lineRule="auto"/>
              <w:rPr>
                <w:rFonts w:ascii="宋体" w:hAnsi="宋体" w:cs="宋体"/>
                <w:highlight w:val="none"/>
              </w:rPr>
            </w:pPr>
            <w:r>
              <w:rPr>
                <w:rFonts w:hint="eastAsia"/>
                <w:highlight w:val="none"/>
              </w:rPr>
              <w:t>(2)评标价平均值的计算：</w:t>
            </w:r>
          </w:p>
          <w:p>
            <w:pPr>
              <w:spacing w:line="360" w:lineRule="auto"/>
              <w:rPr>
                <w:highlight w:val="none"/>
              </w:rPr>
            </w:pPr>
            <w:r>
              <w:rPr>
                <w:rFonts w:hint="eastAsia"/>
                <w:highlight w:val="none"/>
              </w:rPr>
              <w:t>方案一：按第一个信封（商务及技术文件）评审得分由高到低的顺</w:t>
            </w:r>
          </w:p>
          <w:p>
            <w:pPr>
              <w:spacing w:line="360" w:lineRule="auto"/>
              <w:rPr>
                <w:highlight w:val="none"/>
              </w:rPr>
            </w:pPr>
            <w:r>
              <w:rPr>
                <w:rFonts w:hint="eastAsia"/>
                <w:highlight w:val="none"/>
              </w:rPr>
              <w:t>序选取前3名（若不足3名，则选取相应数量），对其第二个信封（报价文件）的评标价作算术平均（根据第二章“投标人须知”第 5.2.4</w:t>
            </w:r>
          </w:p>
          <w:p>
            <w:pPr>
              <w:spacing w:line="360" w:lineRule="auto"/>
              <w:rPr>
                <w:highlight w:val="none"/>
              </w:rPr>
            </w:pPr>
            <w:r>
              <w:rPr>
                <w:rFonts w:hint="eastAsia"/>
                <w:highlight w:val="none"/>
              </w:rPr>
              <w:t>项规定在开标现场被宣布为不进入评标基准价计算的投标报价除</w:t>
            </w:r>
          </w:p>
          <w:p>
            <w:pPr>
              <w:spacing w:line="360" w:lineRule="auto"/>
              <w:rPr>
                <w:rFonts w:ascii="宋体" w:hAnsi="宋体" w:cs="宋体"/>
                <w:highlight w:val="none"/>
              </w:rPr>
            </w:pPr>
            <w:r>
              <w:rPr>
                <w:rFonts w:hint="eastAsia"/>
                <w:highlight w:val="none"/>
              </w:rPr>
              <w:t>外），将该平均值作为评标价平均值；</w:t>
            </w:r>
          </w:p>
          <w:p>
            <w:pPr>
              <w:spacing w:line="360" w:lineRule="auto"/>
              <w:rPr>
                <w:highlight w:val="none"/>
              </w:rPr>
            </w:pPr>
            <w:r>
              <w:rPr>
                <w:rFonts w:hint="eastAsia" w:ascii="宋体" w:hAnsi="宋体" w:cs="宋体"/>
                <w:szCs w:val="24"/>
                <w:highlight w:val="none"/>
              </w:rPr>
              <w:t>■</w:t>
            </w:r>
            <w:r>
              <w:rPr>
                <w:rFonts w:hint="eastAsia"/>
                <w:highlight w:val="none"/>
              </w:rPr>
              <w:t>方案二：除按第二章“投标人须知”第 5.2.4 项规定开标现场被宣布为不进入评标基准价计算的投标报价之外，所有投标人的评标价去掉一个最高值和一个最低值后的算术平均值即为评标价平均值（如果参与评标价平均值计算的有效投标人少于 5 家时，则计算评标价平均值时不去掉最高值和最低值）。</w:t>
            </w:r>
          </w:p>
          <w:p>
            <w:pPr>
              <w:spacing w:line="360" w:lineRule="auto"/>
              <w:rPr>
                <w:highlight w:val="none"/>
              </w:rPr>
            </w:pPr>
            <w:r>
              <w:rPr>
                <w:rFonts w:hint="eastAsia"/>
                <w:highlight w:val="none"/>
              </w:rPr>
              <w:t>(3)评标基准价的确定:</w:t>
            </w:r>
          </w:p>
          <w:p>
            <w:pPr>
              <w:spacing w:line="360" w:lineRule="auto"/>
              <w:rPr>
                <w:highlight w:val="none"/>
              </w:rPr>
            </w:pPr>
            <w:r>
              <w:rPr>
                <w:rFonts w:hint="eastAsia"/>
                <w:highlight w:val="none"/>
              </w:rPr>
              <w:t>评标基准价=评标价平均值×（1-下浮系数）</w:t>
            </w:r>
          </w:p>
          <w:p>
            <w:pPr>
              <w:spacing w:line="360" w:lineRule="auto"/>
              <w:rPr>
                <w:position w:val="11"/>
                <w:sz w:val="10"/>
                <w:highlight w:val="none"/>
              </w:rPr>
            </w:pPr>
            <w:r>
              <w:rPr>
                <w:rFonts w:hint="eastAsia"/>
                <w:highlight w:val="none"/>
              </w:rPr>
              <w:t>下浮系数将从 1%~5%中选取 5 个数，步距不小于 0.5%，设置等差数列，并在开标时随机抽取。</w:t>
            </w:r>
            <w:r>
              <w:rPr>
                <w:rFonts w:hint="eastAsia"/>
                <w:highlight w:val="none"/>
                <w:lang w:val="en-US" w:eastAsia="zh-CN"/>
              </w:rPr>
              <w:t>5个系数分别为1%，1.5%，2%，2.5%，3%。</w:t>
            </w:r>
            <w:r>
              <w:rPr>
                <w:rFonts w:hint="eastAsia"/>
                <w:highlight w:val="none"/>
              </w:rPr>
              <w:t xml:space="preserve"> </w:t>
            </w:r>
          </w:p>
        </w:tc>
      </w:tr>
    </w:tbl>
    <w:p>
      <w:pPr>
        <w:pStyle w:val="11"/>
        <w:rPr>
          <w:rFonts w:ascii="黑体"/>
          <w:sz w:val="5"/>
          <w:highlight w:val="none"/>
        </w:rPr>
      </w:pPr>
      <w:r>
        <w:rPr>
          <w:highlight w:val="none"/>
        </w:rPr>
        <mc:AlternateContent>
          <mc:Choice Requires="wps">
            <w:drawing>
              <wp:anchor distT="0" distB="0" distL="0" distR="0" simplePos="0" relativeHeight="251666432" behindDoc="1" locked="0" layoutInCell="1" allowOverlap="1">
                <wp:simplePos x="0" y="0"/>
                <wp:positionH relativeFrom="page">
                  <wp:posOffset>1043305</wp:posOffset>
                </wp:positionH>
                <wp:positionV relativeFrom="paragraph">
                  <wp:posOffset>138430</wp:posOffset>
                </wp:positionV>
                <wp:extent cx="1828800" cy="0"/>
                <wp:effectExtent l="0" t="0" r="0" b="0"/>
                <wp:wrapTopAndBottom/>
                <wp:docPr id="64" name="直线 43"/>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wps:wsp>
                  </a:graphicData>
                </a:graphic>
              </wp:anchor>
            </w:drawing>
          </mc:Choice>
          <mc:Fallback>
            <w:pict>
              <v:line id="直线 43" o:spid="_x0000_s1026" o:spt="20" style="position:absolute;left:0pt;margin-left:82.15pt;margin-top:10.9pt;height:0pt;width:144pt;mso-position-horizontal-relative:page;mso-wrap-distance-bottom:0pt;mso-wrap-distance-top:0pt;z-index:-251650048;mso-width-relative:page;mso-height-relative:page;" filled="f" stroked="t" coordsize="21600,21600" o:gfxdata="UEsDBAoAAAAAAIdO4kAAAAAAAAAAAAAAAAAEAAAAZHJzL1BLAwQUAAAACACHTuJAgJi7GdYAAAAJ&#10;AQAADwAAAGRycy9kb3ducmV2LnhtbE2PzU7DMBCE70i8g7VI3KidtERViNNDERdAQg1I5ejGS5Ji&#10;r6PY/eHtWcQBjjP7aXamWp29E0ec4hBIQzZTIJDaYAfqNLy9PtwsQcRkyBoXCDV8YYRVfXlRmdKG&#10;E23w2KROcAjF0mjoUxpLKWPbozdxFkYkvn2EyZvEcuqkncyJw72TuVKF9GYg/tCbEdc9tp/NwWtQ&#10;L0/Fu3xe7/fbx/uNMvPGqazR+voqU3cgEp7THww/9bk61NxpFw5ko3Csi8WcUQ15xhMYWNzmbOx+&#10;DVlX8v+C+htQSwMEFAAAAAgAh07iQBRRr07dAQAAzgMAAA4AAABkcnMvZTJvRG9jLnhtbK1TS27b&#10;MBDdF+gdCO5jyU4QGILlLOKmm6I10PYAY5KSCPAHDmPZZ+k1uuqmx8k1OqQcJ003XlQLajgcvpn3&#10;Zri6O1jD9iqi9q7l81nNmXLCS+36ln//9nC15AwTOAnGO9Xyo0J+t37/bjWGRi384I1UkRGIw2YM&#10;LR9SCk1VoRiUBZz5oBwddj5aSLSNfSUjjIRuTbWo69tq9FGG6IVCJO9mOuQnxHgJoO86LdTGi0er&#10;XJpQozKQiBIOOiBfl2q7Ton0petQJWZaTkxTWSkJ2bu8VusVNH2EMGhxKgEuKeENJwvaUdIz1AYS&#10;sMeo/4GyWkSPvksz4W01ESmKEIt5/UabrwMEVbiQ1BjOouP/gxWf99vItGz57Q1nDix1/OnHz6df&#10;v9nNdVZnDNhQ0L3bxtMOwzZmqocu2vwnEuxQFD2eFVWHxAQ558vFclmT2OL5rHq5GCKmj8pblo2W&#10;G+0yWWhg/wkTJaPQ55DsNo6NJY0AGruO2k2wNlDp6PpyEb3R8kEbk8Mx9rt7E9kecuvLl/kQ6F9h&#10;OcMGcJjiytE0FIMC+cFJlo6BNHH0FnjOb5XkzCh6OtkiQGgSaHNJJKU2jirIkk4iZmvn5bFoW/zU&#10;5lLjaSTzHL3el9svz3D9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ICYuxnWAAAACQEAAA8AAAAA&#10;AAAAAQAgAAAAIgAAAGRycy9kb3ducmV2LnhtbFBLAQIUABQAAAAIAIdO4kAUUa9O3QEAAM4DAAAO&#10;AAAAAAAAAAEAIAAAACUBAABkcnMvZTJvRG9jLnhtbFBLBQYAAAAABgAGAFkBAAB0BQAAAAA=&#10;">
                <v:fill on="f" focussize="0,0"/>
                <v:stroke weight="0pt" color="#000000" joinstyle="round"/>
                <v:imagedata o:title=""/>
                <o:lock v:ext="edit" aspectratio="f"/>
                <w10:wrap type="topAndBottom"/>
              </v:line>
            </w:pict>
          </mc:Fallback>
        </mc:AlternateContent>
      </w:r>
    </w:p>
    <w:p>
      <w:pPr>
        <w:spacing w:before="90"/>
        <w:ind w:left="284"/>
        <w:jc w:val="left"/>
        <w:rPr>
          <w:rFonts w:ascii="黑体" w:hAnsi="黑体" w:eastAsia="黑体"/>
          <w:sz w:val="18"/>
          <w:highlight w:val="none"/>
        </w:rPr>
      </w:pPr>
      <w:r>
        <w:rPr>
          <w:position w:val="9"/>
          <w:sz w:val="9"/>
          <w:highlight w:val="none"/>
        </w:rPr>
        <w:t>①</w:t>
      </w:r>
      <w:r>
        <w:rPr>
          <w:rFonts w:hint="eastAsia" w:ascii="黑体" w:hAnsi="黑体" w:eastAsia="黑体"/>
          <w:sz w:val="18"/>
          <w:highlight w:val="none"/>
        </w:rPr>
        <w:t>招标人不得将人员资格、企业资质等级、注册资本等资格条件设为加分项。</w:t>
      </w:r>
    </w:p>
    <w:p>
      <w:pPr>
        <w:spacing w:before="70" w:line="312" w:lineRule="auto"/>
        <w:ind w:left="464" w:right="465" w:hanging="180"/>
        <w:rPr>
          <w:rFonts w:ascii="黑体" w:hAnsi="黑体" w:eastAsia="黑体"/>
          <w:sz w:val="18"/>
          <w:highlight w:val="none"/>
        </w:rPr>
      </w:pPr>
      <w:r>
        <w:rPr>
          <w:position w:val="9"/>
          <w:sz w:val="9"/>
          <w:highlight w:val="none"/>
        </w:rPr>
        <w:t xml:space="preserve">② </w:t>
      </w:r>
      <w:r>
        <w:rPr>
          <w:rFonts w:hint="eastAsia" w:ascii="黑体" w:hAnsi="黑体" w:eastAsia="黑体"/>
          <w:sz w:val="18"/>
          <w:highlight w:val="none"/>
        </w:rPr>
        <w:t>“技术能力”指投标人的科研开发和技术创新能力，招标人可结合招标项目的具体情况提出相关要求，包括投标人获得的与工程咨询管理有关的专利（发明专利或实用新型专利）、国家或省级科学技术进步奖，主编或参编过的国家、行业或地方标准等。</w:t>
      </w:r>
    </w:p>
    <w:p>
      <w:pPr>
        <w:ind w:left="284"/>
        <w:rPr>
          <w:rFonts w:ascii="黑体" w:hAnsi="黑体" w:eastAsia="黑体"/>
          <w:sz w:val="18"/>
          <w:highlight w:val="none"/>
        </w:rPr>
      </w:pPr>
      <w:r>
        <w:rPr>
          <w:position w:val="9"/>
          <w:sz w:val="9"/>
          <w:highlight w:val="none"/>
        </w:rPr>
        <w:t>③</w:t>
      </w:r>
      <w:r>
        <w:rPr>
          <w:rFonts w:hint="eastAsia" w:ascii="黑体" w:hAnsi="黑体" w:eastAsia="黑体"/>
          <w:sz w:val="18"/>
          <w:highlight w:val="none"/>
        </w:rPr>
        <w:t>对于复杂的项目，评标价权重分值不宜超过 10 分；对于市场服务成熟度高的项目，评标价权重分值不宜超过</w:t>
      </w:r>
    </w:p>
    <w:p>
      <w:pPr>
        <w:spacing w:before="70"/>
        <w:ind w:left="384"/>
        <w:rPr>
          <w:rFonts w:ascii="黑体" w:eastAsia="黑体"/>
          <w:sz w:val="18"/>
          <w:highlight w:val="none"/>
        </w:rPr>
      </w:pPr>
      <w:r>
        <w:rPr>
          <w:rFonts w:hint="eastAsia" w:ascii="黑体" w:eastAsia="黑体"/>
          <w:sz w:val="18"/>
          <w:highlight w:val="none"/>
        </w:rPr>
        <w:t>30 分。</w:t>
      </w:r>
    </w:p>
    <w:p>
      <w:pPr>
        <w:spacing w:before="47"/>
        <w:ind w:left="284"/>
        <w:rPr>
          <w:rFonts w:ascii="黑体" w:hAnsi="黑体" w:eastAsia="黑体"/>
          <w:sz w:val="18"/>
          <w:highlight w:val="none"/>
        </w:rPr>
      </w:pPr>
      <w:r>
        <w:rPr>
          <w:rFonts w:hint="eastAsia" w:ascii="黑体" w:hAnsi="黑体" w:eastAsia="黑体"/>
          <w:position w:val="9"/>
          <w:sz w:val="9"/>
          <w:highlight w:val="none"/>
        </w:rPr>
        <w:t xml:space="preserve">④ </w:t>
      </w:r>
      <w:r>
        <w:rPr>
          <w:rFonts w:hint="eastAsia" w:ascii="黑体" w:hAnsi="黑体" w:eastAsia="黑体"/>
          <w:sz w:val="18"/>
          <w:highlight w:val="none"/>
        </w:rPr>
        <w:t>具体数值由招标人依据项目特点和实际需要予以明确。</w:t>
      </w:r>
    </w:p>
    <w:p>
      <w:pPr>
        <w:rPr>
          <w:rFonts w:ascii="黑体" w:hAnsi="黑体" w:eastAsia="黑体"/>
          <w:sz w:val="18"/>
          <w:highlight w:val="none"/>
        </w:rPr>
        <w:sectPr>
          <w:pgSz w:w="11910" w:h="16840"/>
          <w:pgMar w:top="2020" w:right="1120" w:bottom="1280" w:left="1360" w:header="0" w:footer="1011" w:gutter="0"/>
          <w:pgBorders>
            <w:top w:val="none" w:sz="0" w:space="0"/>
            <w:left w:val="none" w:sz="0" w:space="0"/>
            <w:bottom w:val="none" w:sz="0" w:space="0"/>
            <w:right w:val="none" w:sz="0" w:space="0"/>
          </w:pgBorders>
          <w:cols w:space="720" w:num="1"/>
        </w:sectPr>
      </w:pPr>
    </w:p>
    <w:p>
      <w:pPr>
        <w:pStyle w:val="11"/>
        <w:rPr>
          <w:sz w:val="26"/>
          <w:highlight w:val="none"/>
        </w:rPr>
      </w:pPr>
    </w:p>
    <w:tbl>
      <w:tblPr>
        <w:tblStyle w:val="38"/>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59"/>
        <w:gridCol w:w="1417"/>
        <w:gridCol w:w="63"/>
        <w:gridCol w:w="1170"/>
        <w:gridCol w:w="1714"/>
        <w:gridCol w:w="822"/>
        <w:gridCol w:w="27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40" w:hRule="atLeast"/>
        </w:trPr>
        <w:tc>
          <w:tcPr>
            <w:tcW w:w="959" w:type="dxa"/>
            <w:tcMar>
              <w:top w:w="57" w:type="dxa"/>
              <w:left w:w="57" w:type="dxa"/>
              <w:bottom w:w="57" w:type="dxa"/>
              <w:right w:w="57" w:type="dxa"/>
            </w:tcMar>
          </w:tcPr>
          <w:p>
            <w:pPr>
              <w:pStyle w:val="105"/>
              <w:rPr>
                <w:sz w:val="20"/>
                <w:highlight w:val="none"/>
              </w:rPr>
            </w:pPr>
          </w:p>
        </w:tc>
        <w:tc>
          <w:tcPr>
            <w:tcW w:w="1417" w:type="dxa"/>
            <w:tcMar>
              <w:top w:w="57" w:type="dxa"/>
              <w:left w:w="57" w:type="dxa"/>
              <w:bottom w:w="57" w:type="dxa"/>
              <w:right w:w="57" w:type="dxa"/>
            </w:tcMar>
          </w:tcPr>
          <w:p>
            <w:pPr>
              <w:pStyle w:val="105"/>
              <w:rPr>
                <w:sz w:val="20"/>
                <w:highlight w:val="none"/>
              </w:rPr>
            </w:pPr>
          </w:p>
        </w:tc>
        <w:tc>
          <w:tcPr>
            <w:tcW w:w="6515" w:type="dxa"/>
            <w:gridSpan w:val="5"/>
            <w:tcMar>
              <w:top w:w="57" w:type="dxa"/>
              <w:left w:w="57" w:type="dxa"/>
              <w:bottom w:w="57" w:type="dxa"/>
              <w:right w:w="57" w:type="dxa"/>
            </w:tcMar>
          </w:tcPr>
          <w:p>
            <w:pPr>
              <w:spacing w:line="360" w:lineRule="auto"/>
              <w:rPr>
                <w:highlight w:val="none"/>
              </w:rPr>
            </w:pPr>
            <w:r>
              <w:rPr>
                <w:rFonts w:hint="eastAsia"/>
                <w:highlight w:val="none"/>
              </w:rPr>
              <w:t>如果投标人认为某一标段的评标基准价计算有误，有权在开标现场提出，经当场核实确认之后，可重新宣布评标基准价。</w:t>
            </w:r>
          </w:p>
          <w:p>
            <w:pPr>
              <w:spacing w:line="360" w:lineRule="auto"/>
              <w:rPr>
                <w:highlight w:val="none"/>
              </w:rPr>
            </w:pPr>
            <w:r>
              <w:rPr>
                <w:rFonts w:hint="eastAsia"/>
                <w:highlight w:val="none"/>
              </w:rPr>
              <w:t>在评标过程中，评标委员会应对招标人计算的评标基准价进行复核，</w:t>
            </w:r>
          </w:p>
          <w:p>
            <w:pPr>
              <w:spacing w:line="360" w:lineRule="auto"/>
              <w:rPr>
                <w:rFonts w:ascii="宋体" w:hAnsi="宋体" w:cs="宋体"/>
                <w:highlight w:val="none"/>
              </w:rPr>
            </w:pPr>
            <w:r>
              <w:rPr>
                <w:rFonts w:hint="eastAsia"/>
                <w:highlight w:val="none"/>
              </w:rPr>
              <w:t>存在计算错误的应予以修正并在评标报告中作出说明。除此之外，评  标基准价在整个评标期间保持不变，不随任何因素发生变化。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8" w:hRule="atLeast"/>
        </w:trPr>
        <w:tc>
          <w:tcPr>
            <w:tcW w:w="959" w:type="dxa"/>
          </w:tcPr>
          <w:p>
            <w:pPr>
              <w:pStyle w:val="105"/>
              <w:rPr>
                <w:sz w:val="22"/>
                <w:highlight w:val="none"/>
              </w:rPr>
            </w:pPr>
          </w:p>
          <w:p>
            <w:pPr>
              <w:pStyle w:val="105"/>
              <w:spacing w:before="164"/>
              <w:ind w:left="268"/>
              <w:rPr>
                <w:highlight w:val="none"/>
              </w:rPr>
            </w:pPr>
            <w:r>
              <w:rPr>
                <w:rFonts w:hint="eastAsia"/>
                <w:highlight w:val="none"/>
              </w:rPr>
              <w:t>2.2.3</w:t>
            </w:r>
          </w:p>
        </w:tc>
        <w:tc>
          <w:tcPr>
            <w:tcW w:w="1417" w:type="dxa"/>
          </w:tcPr>
          <w:p>
            <w:pPr>
              <w:pStyle w:val="105"/>
              <w:spacing w:before="24" w:line="442" w:lineRule="exact"/>
              <w:ind w:left="183" w:right="69" w:hanging="106"/>
              <w:rPr>
                <w:highlight w:val="none"/>
              </w:rPr>
            </w:pPr>
            <w:r>
              <w:rPr>
                <w:rFonts w:hint="eastAsia"/>
                <w:highlight w:val="none"/>
              </w:rPr>
              <w:t>评标价的偏差率计算公式</w:t>
            </w:r>
          </w:p>
        </w:tc>
        <w:tc>
          <w:tcPr>
            <w:tcW w:w="6515" w:type="dxa"/>
            <w:gridSpan w:val="5"/>
          </w:tcPr>
          <w:p>
            <w:pPr>
              <w:pStyle w:val="105"/>
              <w:rPr>
                <w:sz w:val="22"/>
                <w:highlight w:val="none"/>
              </w:rPr>
            </w:pPr>
          </w:p>
          <w:p>
            <w:pPr>
              <w:pStyle w:val="105"/>
              <w:spacing w:before="136"/>
              <w:ind w:left="527"/>
              <w:rPr>
                <w:highlight w:val="none"/>
              </w:rPr>
            </w:pPr>
            <w:r>
              <w:rPr>
                <w:rFonts w:hint="eastAsia"/>
                <w:highlight w:val="none"/>
              </w:rPr>
              <w:t>偏差率=100% ×（投标人评标价－评标基准价）/评标基准价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6" w:hRule="atLeast"/>
        </w:trPr>
        <w:tc>
          <w:tcPr>
            <w:tcW w:w="959" w:type="dxa"/>
            <w:vMerge w:val="restart"/>
            <w:vAlign w:val="center"/>
          </w:tcPr>
          <w:p>
            <w:pPr>
              <w:jc w:val="center"/>
              <w:rPr>
                <w:b/>
                <w:bCs/>
                <w:highlight w:val="none"/>
              </w:rPr>
            </w:pPr>
          </w:p>
          <w:p>
            <w:pPr>
              <w:jc w:val="center"/>
              <w:rPr>
                <w:b/>
                <w:bCs/>
                <w:highlight w:val="none"/>
              </w:rPr>
            </w:pPr>
          </w:p>
          <w:p>
            <w:pPr>
              <w:jc w:val="center"/>
              <w:rPr>
                <w:b/>
                <w:bCs/>
                <w:highlight w:val="none"/>
              </w:rPr>
            </w:pPr>
            <w:r>
              <w:rPr>
                <w:b/>
                <w:bCs/>
                <w:highlight w:val="none"/>
              </w:rPr>
              <w:t>条款号</w:t>
            </w:r>
          </w:p>
        </w:tc>
        <w:tc>
          <w:tcPr>
            <w:tcW w:w="5186" w:type="dxa"/>
            <w:gridSpan w:val="5"/>
            <w:vAlign w:val="center"/>
          </w:tcPr>
          <w:p>
            <w:pPr>
              <w:jc w:val="center"/>
              <w:rPr>
                <w:b/>
                <w:bCs/>
                <w:highlight w:val="none"/>
              </w:rPr>
            </w:pPr>
            <w:r>
              <w:rPr>
                <w:b/>
                <w:bCs/>
                <w:highlight w:val="none"/>
              </w:rPr>
              <w:t>评分因素与权重分值</w:t>
            </w:r>
          </w:p>
        </w:tc>
        <w:tc>
          <w:tcPr>
            <w:tcW w:w="2746" w:type="dxa"/>
            <w:vMerge w:val="restart"/>
            <w:vAlign w:val="center"/>
          </w:tcPr>
          <w:p>
            <w:pPr>
              <w:jc w:val="center"/>
              <w:rPr>
                <w:highlight w:val="none"/>
              </w:rPr>
            </w:pPr>
            <w:r>
              <w:rPr>
                <w:b/>
                <w:bCs/>
                <w:highlight w:val="none"/>
              </w:rPr>
              <w:t>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80" w:hRule="atLeast"/>
        </w:trPr>
        <w:tc>
          <w:tcPr>
            <w:tcW w:w="959" w:type="dxa"/>
            <w:vMerge w:val="continue"/>
            <w:tcBorders>
              <w:top w:val="nil"/>
            </w:tcBorders>
            <w:vAlign w:val="center"/>
          </w:tcPr>
          <w:p>
            <w:pPr>
              <w:jc w:val="center"/>
              <w:rPr>
                <w:b/>
                <w:bCs/>
                <w:highlight w:val="none"/>
              </w:rPr>
            </w:pPr>
          </w:p>
        </w:tc>
        <w:tc>
          <w:tcPr>
            <w:tcW w:w="1480" w:type="dxa"/>
            <w:gridSpan w:val="2"/>
            <w:vAlign w:val="center"/>
          </w:tcPr>
          <w:p>
            <w:pPr>
              <w:jc w:val="center"/>
              <w:rPr>
                <w:b/>
                <w:bCs/>
                <w:highlight w:val="none"/>
              </w:rPr>
            </w:pPr>
          </w:p>
          <w:p>
            <w:pPr>
              <w:jc w:val="center"/>
              <w:rPr>
                <w:b/>
                <w:bCs/>
                <w:highlight w:val="none"/>
              </w:rPr>
            </w:pPr>
            <w:r>
              <w:rPr>
                <w:b/>
                <w:bCs/>
                <w:highlight w:val="none"/>
              </w:rPr>
              <w:t>评分因素</w:t>
            </w:r>
          </w:p>
        </w:tc>
        <w:tc>
          <w:tcPr>
            <w:tcW w:w="1170" w:type="dxa"/>
            <w:vAlign w:val="center"/>
          </w:tcPr>
          <w:p>
            <w:pPr>
              <w:jc w:val="center"/>
              <w:rPr>
                <w:b/>
                <w:bCs/>
                <w:highlight w:val="none"/>
              </w:rPr>
            </w:pPr>
            <w:r>
              <w:rPr>
                <w:b/>
                <w:bCs/>
                <w:highlight w:val="none"/>
              </w:rPr>
              <w:t>评分因素权重分值</w:t>
            </w:r>
          </w:p>
        </w:tc>
        <w:tc>
          <w:tcPr>
            <w:tcW w:w="1714" w:type="dxa"/>
            <w:vAlign w:val="center"/>
          </w:tcPr>
          <w:p>
            <w:pPr>
              <w:jc w:val="center"/>
              <w:rPr>
                <w:b/>
                <w:bCs/>
                <w:highlight w:val="none"/>
              </w:rPr>
            </w:pPr>
            <w:r>
              <w:rPr>
                <w:b/>
                <w:bCs/>
                <w:highlight w:val="none"/>
              </w:rPr>
              <w:t>各评分因素细分项</w:t>
            </w:r>
          </w:p>
        </w:tc>
        <w:tc>
          <w:tcPr>
            <w:tcW w:w="822" w:type="dxa"/>
            <w:vAlign w:val="center"/>
          </w:tcPr>
          <w:p>
            <w:pPr>
              <w:jc w:val="center"/>
              <w:rPr>
                <w:b/>
                <w:bCs/>
                <w:highlight w:val="none"/>
              </w:rPr>
            </w:pPr>
          </w:p>
          <w:p>
            <w:pPr>
              <w:jc w:val="center"/>
              <w:rPr>
                <w:b/>
                <w:bCs/>
                <w:highlight w:val="none"/>
              </w:rPr>
            </w:pPr>
            <w:r>
              <w:rPr>
                <w:b/>
                <w:bCs/>
                <w:highlight w:val="none"/>
              </w:rPr>
              <w:t>分值</w:t>
            </w:r>
          </w:p>
        </w:tc>
        <w:tc>
          <w:tcPr>
            <w:tcW w:w="2746" w:type="dxa"/>
            <w:vMerge w:val="continue"/>
            <w:tcBorders>
              <w:top w:val="nil"/>
            </w:tcBorders>
            <w:vAlign w:val="center"/>
          </w:tcPr>
          <w:p>
            <w:pPr>
              <w:jc w:val="center"/>
              <w:rPr>
                <w:sz w:val="2"/>
                <w:szCs w:val="2"/>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93" w:hRule="atLeast"/>
        </w:trPr>
        <w:tc>
          <w:tcPr>
            <w:tcW w:w="959" w:type="dxa"/>
            <w:vMerge w:val="restart"/>
            <w:tcMar>
              <w:top w:w="57" w:type="dxa"/>
              <w:left w:w="57" w:type="dxa"/>
              <w:bottom w:w="57" w:type="dxa"/>
              <w:right w:w="57" w:type="dxa"/>
            </w:tcMar>
            <w:vAlign w:val="center"/>
          </w:tcPr>
          <w:p>
            <w:pPr>
              <w:pStyle w:val="105"/>
              <w:spacing w:before="192"/>
              <w:jc w:val="center"/>
              <w:rPr>
                <w:rFonts w:ascii="Times New Roman"/>
                <w:highlight w:val="none"/>
              </w:rPr>
            </w:pPr>
            <w:r>
              <w:rPr>
                <w:rFonts w:ascii="Times New Roman"/>
                <w:highlight w:val="none"/>
              </w:rPr>
              <w:t>2.2.4(1)</w:t>
            </w:r>
          </w:p>
        </w:tc>
        <w:tc>
          <w:tcPr>
            <w:tcW w:w="1480" w:type="dxa"/>
            <w:gridSpan w:val="2"/>
            <w:vMerge w:val="restart"/>
            <w:tcMar>
              <w:top w:w="57" w:type="dxa"/>
              <w:left w:w="57" w:type="dxa"/>
              <w:bottom w:w="57" w:type="dxa"/>
              <w:right w:w="57" w:type="dxa"/>
            </w:tcMar>
            <w:vAlign w:val="center"/>
          </w:tcPr>
          <w:p>
            <w:pPr>
              <w:pStyle w:val="105"/>
              <w:spacing w:line="391" w:lineRule="auto"/>
              <w:ind w:right="113"/>
              <w:jc w:val="center"/>
              <w:rPr>
                <w:highlight w:val="none"/>
              </w:rPr>
            </w:pPr>
          </w:p>
          <w:p>
            <w:pPr>
              <w:pStyle w:val="105"/>
              <w:spacing w:line="391" w:lineRule="auto"/>
              <w:ind w:right="113"/>
              <w:jc w:val="center"/>
              <w:rPr>
                <w:highlight w:val="none"/>
              </w:rPr>
            </w:pPr>
            <w:r>
              <w:rPr>
                <w:highlight w:val="none"/>
              </w:rPr>
              <w:t>技术建议书</w:t>
            </w:r>
          </w:p>
        </w:tc>
        <w:tc>
          <w:tcPr>
            <w:tcW w:w="1170" w:type="dxa"/>
            <w:vMerge w:val="restart"/>
            <w:tcMar>
              <w:top w:w="57" w:type="dxa"/>
              <w:left w:w="57" w:type="dxa"/>
              <w:bottom w:w="57" w:type="dxa"/>
              <w:right w:w="57" w:type="dxa"/>
            </w:tcMar>
            <w:vAlign w:val="center"/>
          </w:tcPr>
          <w:p>
            <w:pPr>
              <w:pStyle w:val="105"/>
              <w:tabs>
                <w:tab w:val="left" w:pos="851"/>
              </w:tabs>
              <w:jc w:val="center"/>
              <w:rPr>
                <w:highlight w:val="none"/>
              </w:rPr>
            </w:pPr>
            <w:r>
              <w:rPr>
                <w:rFonts w:hint="eastAsia" w:ascii="Times New Roman"/>
                <w:highlight w:val="none"/>
                <w:u w:val="single"/>
                <w:lang w:val="en-US"/>
              </w:rPr>
              <w:t>35</w:t>
            </w:r>
            <w:r>
              <w:rPr>
                <w:w w:val="95"/>
                <w:highlight w:val="none"/>
              </w:rPr>
              <w:t>分</w:t>
            </w:r>
          </w:p>
        </w:tc>
        <w:tc>
          <w:tcPr>
            <w:tcW w:w="1714" w:type="dxa"/>
            <w:tcMar>
              <w:top w:w="57" w:type="dxa"/>
              <w:left w:w="57" w:type="dxa"/>
              <w:bottom w:w="57" w:type="dxa"/>
              <w:right w:w="57" w:type="dxa"/>
            </w:tcMar>
            <w:vAlign w:val="center"/>
          </w:tcPr>
          <w:p>
            <w:pPr>
              <w:jc w:val="center"/>
              <w:rPr>
                <w:highlight w:val="none"/>
              </w:rPr>
            </w:pPr>
            <w:r>
              <w:rPr>
                <w:rFonts w:hint="eastAsia"/>
                <w:highlight w:val="none"/>
              </w:rPr>
              <w:t>服务方案和措施</w:t>
            </w:r>
          </w:p>
        </w:tc>
        <w:tc>
          <w:tcPr>
            <w:tcW w:w="822" w:type="dxa"/>
            <w:tcMar>
              <w:top w:w="57" w:type="dxa"/>
              <w:left w:w="57" w:type="dxa"/>
              <w:bottom w:w="57" w:type="dxa"/>
              <w:right w:w="57" w:type="dxa"/>
            </w:tcMar>
            <w:vAlign w:val="center"/>
          </w:tcPr>
          <w:p>
            <w:pPr>
              <w:jc w:val="center"/>
              <w:rPr>
                <w:highlight w:val="none"/>
              </w:rPr>
            </w:pPr>
            <w:r>
              <w:rPr>
                <w:rFonts w:hint="eastAsia"/>
                <w:highlight w:val="none"/>
              </w:rPr>
              <w:t>15分</w:t>
            </w:r>
          </w:p>
        </w:tc>
        <w:tc>
          <w:tcPr>
            <w:tcW w:w="2746" w:type="dxa"/>
            <w:tcMar>
              <w:top w:w="57" w:type="dxa"/>
              <w:left w:w="57" w:type="dxa"/>
              <w:bottom w:w="57" w:type="dxa"/>
              <w:right w:w="57" w:type="dxa"/>
            </w:tcMar>
          </w:tcPr>
          <w:p>
            <w:pPr>
              <w:spacing w:line="360" w:lineRule="auto"/>
              <w:rPr>
                <w:highlight w:val="none"/>
              </w:rPr>
            </w:pPr>
            <w:r>
              <w:rPr>
                <w:rFonts w:hint="eastAsia"/>
                <w:highlight w:val="none"/>
              </w:rPr>
              <w:t>满足工程基本要求，得12分； 切实可行且合理科学的，酌情加分，本项最高得15分。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959" w:type="dxa"/>
            <w:vMerge w:val="continue"/>
            <w:tcBorders>
              <w:top w:val="nil"/>
            </w:tcBorders>
            <w:tcMar>
              <w:top w:w="57" w:type="dxa"/>
              <w:left w:w="57" w:type="dxa"/>
              <w:bottom w:w="57" w:type="dxa"/>
              <w:right w:w="57" w:type="dxa"/>
            </w:tcMar>
            <w:vAlign w:val="center"/>
          </w:tcPr>
          <w:p>
            <w:pPr>
              <w:jc w:val="center"/>
              <w:rPr>
                <w:sz w:val="2"/>
                <w:szCs w:val="2"/>
                <w:highlight w:val="none"/>
              </w:rPr>
            </w:pPr>
          </w:p>
        </w:tc>
        <w:tc>
          <w:tcPr>
            <w:tcW w:w="1480" w:type="dxa"/>
            <w:gridSpan w:val="2"/>
            <w:vMerge w:val="continue"/>
            <w:tcBorders>
              <w:top w:val="nil"/>
            </w:tcBorders>
            <w:tcMar>
              <w:top w:w="57" w:type="dxa"/>
              <w:left w:w="57" w:type="dxa"/>
              <w:bottom w:w="57" w:type="dxa"/>
              <w:right w:w="57" w:type="dxa"/>
            </w:tcMar>
            <w:vAlign w:val="center"/>
          </w:tcPr>
          <w:p>
            <w:pPr>
              <w:jc w:val="center"/>
              <w:rPr>
                <w:sz w:val="2"/>
                <w:szCs w:val="2"/>
                <w:highlight w:val="none"/>
              </w:rPr>
            </w:pPr>
          </w:p>
        </w:tc>
        <w:tc>
          <w:tcPr>
            <w:tcW w:w="1170" w:type="dxa"/>
            <w:vMerge w:val="continue"/>
            <w:tcBorders>
              <w:top w:val="nil"/>
            </w:tcBorders>
            <w:tcMar>
              <w:top w:w="57" w:type="dxa"/>
              <w:left w:w="57" w:type="dxa"/>
              <w:bottom w:w="57" w:type="dxa"/>
              <w:right w:w="57" w:type="dxa"/>
            </w:tcMar>
            <w:vAlign w:val="center"/>
          </w:tcPr>
          <w:p>
            <w:pPr>
              <w:jc w:val="center"/>
              <w:rPr>
                <w:sz w:val="2"/>
                <w:szCs w:val="2"/>
                <w:highlight w:val="none"/>
              </w:rPr>
            </w:pPr>
          </w:p>
        </w:tc>
        <w:tc>
          <w:tcPr>
            <w:tcW w:w="1714" w:type="dxa"/>
            <w:tcMar>
              <w:top w:w="57" w:type="dxa"/>
              <w:left w:w="57" w:type="dxa"/>
              <w:bottom w:w="57" w:type="dxa"/>
              <w:right w:w="57" w:type="dxa"/>
            </w:tcMar>
            <w:vAlign w:val="center"/>
          </w:tcPr>
          <w:p>
            <w:pPr>
              <w:jc w:val="center"/>
              <w:rPr>
                <w:highlight w:val="none"/>
              </w:rPr>
            </w:pPr>
            <w:r>
              <w:rPr>
                <w:rFonts w:hint="eastAsia"/>
                <w:highlight w:val="none"/>
              </w:rPr>
              <w:t>本工程服务工作的重点与难点分</w:t>
            </w:r>
          </w:p>
          <w:p>
            <w:pPr>
              <w:jc w:val="center"/>
              <w:rPr>
                <w:highlight w:val="none"/>
              </w:rPr>
            </w:pPr>
            <w:r>
              <w:rPr>
                <w:rFonts w:hint="eastAsia"/>
                <w:highlight w:val="none"/>
              </w:rPr>
              <w:t>析</w:t>
            </w:r>
          </w:p>
        </w:tc>
        <w:tc>
          <w:tcPr>
            <w:tcW w:w="822" w:type="dxa"/>
            <w:tcMar>
              <w:top w:w="57" w:type="dxa"/>
              <w:left w:w="57" w:type="dxa"/>
              <w:bottom w:w="57" w:type="dxa"/>
              <w:right w:w="57" w:type="dxa"/>
            </w:tcMar>
            <w:vAlign w:val="center"/>
          </w:tcPr>
          <w:p>
            <w:pPr>
              <w:jc w:val="center"/>
              <w:rPr>
                <w:highlight w:val="none"/>
              </w:rPr>
            </w:pPr>
            <w:r>
              <w:rPr>
                <w:rFonts w:hint="eastAsia"/>
                <w:highlight w:val="none"/>
              </w:rPr>
              <w:t>10分</w:t>
            </w:r>
          </w:p>
        </w:tc>
        <w:tc>
          <w:tcPr>
            <w:tcW w:w="2746" w:type="dxa"/>
            <w:tcMar>
              <w:top w:w="57" w:type="dxa"/>
              <w:left w:w="57" w:type="dxa"/>
              <w:bottom w:w="57" w:type="dxa"/>
              <w:right w:w="57" w:type="dxa"/>
            </w:tcMar>
          </w:tcPr>
          <w:p>
            <w:pPr>
              <w:spacing w:line="360" w:lineRule="auto"/>
              <w:rPr>
                <w:highlight w:val="none"/>
              </w:rPr>
            </w:pPr>
            <w:r>
              <w:rPr>
                <w:rFonts w:hint="eastAsia"/>
                <w:highlight w:val="none"/>
              </w:rPr>
              <w:t>满足工程基本要求，得8分； 切实可行且合理科学的，酌</w:t>
            </w:r>
          </w:p>
          <w:p>
            <w:pPr>
              <w:spacing w:line="360" w:lineRule="auto"/>
              <w:rPr>
                <w:highlight w:val="none"/>
              </w:rPr>
            </w:pPr>
            <w:r>
              <w:rPr>
                <w:rFonts w:hint="eastAsia"/>
                <w:highlight w:val="none"/>
              </w:rPr>
              <w:t>情加分，本项最高得10分。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0" w:hRule="atLeast"/>
        </w:trPr>
        <w:tc>
          <w:tcPr>
            <w:tcW w:w="959" w:type="dxa"/>
            <w:vMerge w:val="continue"/>
            <w:tcBorders>
              <w:top w:val="nil"/>
            </w:tcBorders>
            <w:tcMar>
              <w:top w:w="57" w:type="dxa"/>
              <w:left w:w="57" w:type="dxa"/>
              <w:bottom w:w="57" w:type="dxa"/>
              <w:right w:w="57" w:type="dxa"/>
            </w:tcMar>
            <w:vAlign w:val="center"/>
          </w:tcPr>
          <w:p>
            <w:pPr>
              <w:jc w:val="center"/>
              <w:rPr>
                <w:sz w:val="2"/>
                <w:szCs w:val="2"/>
                <w:highlight w:val="none"/>
              </w:rPr>
            </w:pPr>
          </w:p>
        </w:tc>
        <w:tc>
          <w:tcPr>
            <w:tcW w:w="1480" w:type="dxa"/>
            <w:gridSpan w:val="2"/>
            <w:vMerge w:val="continue"/>
            <w:tcBorders>
              <w:top w:val="nil"/>
            </w:tcBorders>
            <w:tcMar>
              <w:top w:w="57" w:type="dxa"/>
              <w:left w:w="57" w:type="dxa"/>
              <w:bottom w:w="57" w:type="dxa"/>
              <w:right w:w="57" w:type="dxa"/>
            </w:tcMar>
            <w:vAlign w:val="center"/>
          </w:tcPr>
          <w:p>
            <w:pPr>
              <w:jc w:val="center"/>
              <w:rPr>
                <w:sz w:val="2"/>
                <w:szCs w:val="2"/>
                <w:highlight w:val="none"/>
              </w:rPr>
            </w:pPr>
          </w:p>
        </w:tc>
        <w:tc>
          <w:tcPr>
            <w:tcW w:w="1170" w:type="dxa"/>
            <w:vMerge w:val="continue"/>
            <w:tcBorders>
              <w:top w:val="nil"/>
            </w:tcBorders>
            <w:tcMar>
              <w:top w:w="57" w:type="dxa"/>
              <w:left w:w="57" w:type="dxa"/>
              <w:bottom w:w="57" w:type="dxa"/>
              <w:right w:w="57" w:type="dxa"/>
            </w:tcMar>
            <w:vAlign w:val="center"/>
          </w:tcPr>
          <w:p>
            <w:pPr>
              <w:jc w:val="center"/>
              <w:rPr>
                <w:sz w:val="2"/>
                <w:szCs w:val="2"/>
                <w:highlight w:val="none"/>
              </w:rPr>
            </w:pPr>
          </w:p>
        </w:tc>
        <w:tc>
          <w:tcPr>
            <w:tcW w:w="1714" w:type="dxa"/>
            <w:tcMar>
              <w:top w:w="57" w:type="dxa"/>
              <w:left w:w="57" w:type="dxa"/>
              <w:bottom w:w="57" w:type="dxa"/>
              <w:right w:w="57" w:type="dxa"/>
            </w:tcMar>
            <w:vAlign w:val="center"/>
          </w:tcPr>
          <w:p>
            <w:pPr>
              <w:jc w:val="center"/>
              <w:rPr>
                <w:highlight w:val="none"/>
              </w:rPr>
            </w:pPr>
            <w:r>
              <w:rPr>
                <w:rFonts w:hint="eastAsia"/>
                <w:highlight w:val="none"/>
              </w:rPr>
              <w:t>对本工程的建议</w:t>
            </w:r>
          </w:p>
        </w:tc>
        <w:tc>
          <w:tcPr>
            <w:tcW w:w="822" w:type="dxa"/>
            <w:tcMar>
              <w:top w:w="57" w:type="dxa"/>
              <w:left w:w="57" w:type="dxa"/>
              <w:bottom w:w="57" w:type="dxa"/>
              <w:right w:w="57" w:type="dxa"/>
            </w:tcMar>
            <w:vAlign w:val="center"/>
          </w:tcPr>
          <w:p>
            <w:pPr>
              <w:jc w:val="center"/>
              <w:rPr>
                <w:highlight w:val="none"/>
              </w:rPr>
            </w:pPr>
            <w:r>
              <w:rPr>
                <w:rFonts w:hint="eastAsia"/>
                <w:highlight w:val="none"/>
              </w:rPr>
              <w:t>10分</w:t>
            </w:r>
          </w:p>
        </w:tc>
        <w:tc>
          <w:tcPr>
            <w:tcW w:w="2746" w:type="dxa"/>
            <w:tcMar>
              <w:top w:w="57" w:type="dxa"/>
              <w:left w:w="57" w:type="dxa"/>
              <w:bottom w:w="57" w:type="dxa"/>
              <w:right w:w="57" w:type="dxa"/>
            </w:tcMar>
          </w:tcPr>
          <w:p>
            <w:pPr>
              <w:spacing w:line="360" w:lineRule="auto"/>
              <w:rPr>
                <w:highlight w:val="none"/>
              </w:rPr>
            </w:pPr>
            <w:r>
              <w:rPr>
                <w:rFonts w:hint="eastAsia"/>
                <w:highlight w:val="none"/>
              </w:rPr>
              <w:t>满足工程基本要求，得8分；</w:t>
            </w:r>
          </w:p>
          <w:p>
            <w:pPr>
              <w:spacing w:line="360" w:lineRule="auto"/>
              <w:rPr>
                <w:highlight w:val="none"/>
              </w:rPr>
            </w:pPr>
            <w:r>
              <w:rPr>
                <w:rFonts w:hint="eastAsia"/>
                <w:highlight w:val="none"/>
              </w:rPr>
              <w:t>切实可行且合理科学的，酌情加分，本项最高得10分。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4" w:hRule="atLeast"/>
        </w:trPr>
        <w:tc>
          <w:tcPr>
            <w:tcW w:w="959" w:type="dxa"/>
            <w:tcMar>
              <w:top w:w="57" w:type="dxa"/>
              <w:left w:w="57" w:type="dxa"/>
              <w:bottom w:w="57" w:type="dxa"/>
              <w:right w:w="57" w:type="dxa"/>
            </w:tcMar>
            <w:vAlign w:val="center"/>
          </w:tcPr>
          <w:p>
            <w:pPr>
              <w:pStyle w:val="105"/>
              <w:jc w:val="center"/>
              <w:rPr>
                <w:sz w:val="22"/>
                <w:highlight w:val="none"/>
              </w:rPr>
            </w:pPr>
          </w:p>
          <w:p>
            <w:pPr>
              <w:pStyle w:val="105"/>
              <w:spacing w:before="1"/>
              <w:ind w:right="313"/>
              <w:jc w:val="center"/>
              <w:rPr>
                <w:rFonts w:ascii="Times New Roman"/>
                <w:highlight w:val="none"/>
              </w:rPr>
            </w:pPr>
            <w:r>
              <w:rPr>
                <w:rFonts w:ascii="Times New Roman"/>
                <w:highlight w:val="none"/>
              </w:rPr>
              <w:t>2.2.4(2)</w:t>
            </w:r>
          </w:p>
        </w:tc>
        <w:tc>
          <w:tcPr>
            <w:tcW w:w="1480" w:type="dxa"/>
            <w:gridSpan w:val="2"/>
            <w:tcMar>
              <w:top w:w="57" w:type="dxa"/>
              <w:left w:w="57" w:type="dxa"/>
              <w:bottom w:w="57" w:type="dxa"/>
              <w:right w:w="57" w:type="dxa"/>
            </w:tcMar>
            <w:vAlign w:val="center"/>
          </w:tcPr>
          <w:p>
            <w:pPr>
              <w:pStyle w:val="105"/>
              <w:ind w:right="90"/>
              <w:jc w:val="center"/>
              <w:rPr>
                <w:highlight w:val="none"/>
              </w:rPr>
            </w:pPr>
            <w:r>
              <w:rPr>
                <w:highlight w:val="none"/>
              </w:rPr>
              <w:t>主要人员</w:t>
            </w:r>
          </w:p>
        </w:tc>
        <w:tc>
          <w:tcPr>
            <w:tcW w:w="1170" w:type="dxa"/>
            <w:tcMar>
              <w:top w:w="57" w:type="dxa"/>
              <w:left w:w="57" w:type="dxa"/>
              <w:bottom w:w="57" w:type="dxa"/>
              <w:right w:w="57" w:type="dxa"/>
            </w:tcMar>
            <w:vAlign w:val="center"/>
          </w:tcPr>
          <w:p>
            <w:pPr>
              <w:pStyle w:val="105"/>
              <w:tabs>
                <w:tab w:val="left" w:pos="314"/>
              </w:tabs>
              <w:ind w:right="97"/>
              <w:jc w:val="center"/>
              <w:rPr>
                <w:highlight w:val="none"/>
              </w:rPr>
            </w:pPr>
            <w:r>
              <w:rPr>
                <w:rFonts w:hint="eastAsia" w:ascii="Times New Roman"/>
                <w:highlight w:val="none"/>
                <w:u w:val="single"/>
                <w:lang w:val="en-US"/>
              </w:rPr>
              <w:t>30</w:t>
            </w:r>
            <w:r>
              <w:rPr>
                <w:w w:val="95"/>
                <w:highlight w:val="none"/>
              </w:rPr>
              <w:t>分</w:t>
            </w:r>
          </w:p>
        </w:tc>
        <w:tc>
          <w:tcPr>
            <w:tcW w:w="1714" w:type="dxa"/>
            <w:tcMar>
              <w:top w:w="57" w:type="dxa"/>
              <w:left w:w="57" w:type="dxa"/>
              <w:bottom w:w="57" w:type="dxa"/>
              <w:right w:w="57" w:type="dxa"/>
            </w:tcMar>
            <w:vAlign w:val="center"/>
          </w:tcPr>
          <w:p>
            <w:pPr>
              <w:jc w:val="center"/>
              <w:rPr>
                <w:highlight w:val="none"/>
              </w:rPr>
            </w:pPr>
            <w:r>
              <w:rPr>
                <w:rFonts w:hint="eastAsia"/>
                <w:highlight w:val="none"/>
              </w:rPr>
              <w:t>项目负责人任职资格与业绩</w:t>
            </w:r>
          </w:p>
        </w:tc>
        <w:tc>
          <w:tcPr>
            <w:tcW w:w="822" w:type="dxa"/>
            <w:tcMar>
              <w:top w:w="57" w:type="dxa"/>
              <w:left w:w="57" w:type="dxa"/>
              <w:bottom w:w="57" w:type="dxa"/>
              <w:right w:w="57" w:type="dxa"/>
            </w:tcMar>
            <w:vAlign w:val="center"/>
          </w:tcPr>
          <w:p>
            <w:pPr>
              <w:jc w:val="center"/>
              <w:rPr>
                <w:highlight w:val="none"/>
              </w:rPr>
            </w:pPr>
            <w:r>
              <w:rPr>
                <w:rFonts w:hint="eastAsia"/>
                <w:highlight w:val="none"/>
                <w:lang w:val="en-US" w:eastAsia="zh-CN"/>
              </w:rPr>
              <w:t>30</w:t>
            </w:r>
            <w:r>
              <w:rPr>
                <w:rFonts w:hint="eastAsia"/>
                <w:highlight w:val="none"/>
              </w:rPr>
              <w:t>分</w:t>
            </w:r>
          </w:p>
        </w:tc>
        <w:tc>
          <w:tcPr>
            <w:tcW w:w="2746" w:type="dxa"/>
            <w:tcMar>
              <w:top w:w="57" w:type="dxa"/>
              <w:left w:w="57" w:type="dxa"/>
              <w:bottom w:w="57" w:type="dxa"/>
              <w:right w:w="57" w:type="dxa"/>
            </w:tcMar>
          </w:tcPr>
          <w:p>
            <w:pPr>
              <w:spacing w:line="360" w:lineRule="auto"/>
              <w:rPr>
                <w:highlight w:val="none"/>
              </w:rPr>
            </w:pPr>
          </w:p>
          <w:p>
            <w:pPr>
              <w:spacing w:line="360" w:lineRule="auto"/>
              <w:rPr>
                <w:highlight w:val="none"/>
              </w:rPr>
            </w:pPr>
            <w:r>
              <w:rPr>
                <w:rFonts w:hint="eastAsia"/>
                <w:highlight w:val="none"/>
              </w:rPr>
              <w:t>1标段（水土保持监测）满足资格审查条件要求得</w:t>
            </w:r>
            <w:r>
              <w:rPr>
                <w:rFonts w:hint="eastAsia"/>
                <w:highlight w:val="none"/>
                <w:lang w:val="en-US" w:eastAsia="zh-CN"/>
              </w:rPr>
              <w:t>18</w:t>
            </w:r>
            <w:r>
              <w:rPr>
                <w:rFonts w:hint="eastAsia"/>
                <w:highlight w:val="none"/>
              </w:rPr>
              <w:t>分; 每增加一条作为项目负责人或技术负责人业绩要求的加</w:t>
            </w:r>
            <w:r>
              <w:rPr>
                <w:rFonts w:hint="eastAsia"/>
                <w:highlight w:val="none"/>
                <w:lang w:val="en-US" w:eastAsia="zh-CN"/>
              </w:rPr>
              <w:t>6</w:t>
            </w:r>
            <w:r>
              <w:rPr>
                <w:rFonts w:hint="eastAsia"/>
                <w:highlight w:val="none"/>
              </w:rPr>
              <w:t>分，本项最多加</w:t>
            </w:r>
            <w:r>
              <w:rPr>
                <w:rFonts w:hint="eastAsia"/>
                <w:highlight w:val="none"/>
                <w:lang w:val="en-US" w:eastAsia="zh-CN"/>
              </w:rPr>
              <w:t>12</w:t>
            </w:r>
            <w:r>
              <w:rPr>
                <w:rFonts w:hint="eastAsia"/>
                <w:highlight w:val="none"/>
              </w:rPr>
              <w:t>分。</w:t>
            </w:r>
          </w:p>
          <w:p>
            <w:pPr>
              <w:spacing w:line="360" w:lineRule="auto"/>
              <w:rPr>
                <w:highlight w:val="none"/>
              </w:rPr>
            </w:pPr>
            <w:r>
              <w:rPr>
                <w:highlight w:val="none"/>
              </w:rPr>
              <w:t>2标段（环境监测服务）</w:t>
            </w:r>
            <w:r>
              <w:rPr>
                <w:rFonts w:hint="eastAsia"/>
                <w:highlight w:val="none"/>
              </w:rPr>
              <w:t>满足资格审查条件要求得</w:t>
            </w:r>
            <w:r>
              <w:rPr>
                <w:rFonts w:hint="eastAsia"/>
                <w:highlight w:val="none"/>
                <w:lang w:val="en-US" w:eastAsia="zh-CN"/>
              </w:rPr>
              <w:t>24</w:t>
            </w:r>
            <w:r>
              <w:rPr>
                <w:rFonts w:hint="eastAsia"/>
                <w:highlight w:val="none"/>
              </w:rPr>
              <w:t>分; 每增加一条作为项目负责人或技术负责人业绩要求的加</w:t>
            </w:r>
            <w:r>
              <w:rPr>
                <w:rFonts w:hint="eastAsia"/>
                <w:highlight w:val="none"/>
                <w:lang w:val="en-US" w:eastAsia="zh-CN"/>
              </w:rPr>
              <w:t>6</w:t>
            </w:r>
            <w:r>
              <w:rPr>
                <w:rFonts w:hint="eastAsia"/>
                <w:highlight w:val="none"/>
              </w:rPr>
              <w:t>分，本项最多加</w:t>
            </w:r>
            <w:r>
              <w:rPr>
                <w:rFonts w:hint="eastAsia"/>
                <w:highlight w:val="none"/>
                <w:lang w:val="en-US" w:eastAsia="zh-CN"/>
              </w:rPr>
              <w:t>6</w:t>
            </w:r>
            <w:r>
              <w:rPr>
                <w:rFonts w:hint="eastAsia"/>
                <w:highlight w:val="none"/>
              </w:rPr>
              <w:t>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310" w:hRule="atLeast"/>
        </w:trPr>
        <w:tc>
          <w:tcPr>
            <w:tcW w:w="959" w:type="dxa"/>
            <w:tcMar>
              <w:top w:w="57" w:type="dxa"/>
              <w:left w:w="57" w:type="dxa"/>
              <w:bottom w:w="57" w:type="dxa"/>
              <w:right w:w="57" w:type="dxa"/>
            </w:tcMar>
            <w:vAlign w:val="center"/>
          </w:tcPr>
          <w:p>
            <w:pPr>
              <w:pStyle w:val="105"/>
              <w:ind w:right="310"/>
              <w:jc w:val="center"/>
              <w:rPr>
                <w:rFonts w:ascii="Times New Roman"/>
                <w:highlight w:val="none"/>
              </w:rPr>
            </w:pPr>
            <w:r>
              <w:rPr>
                <w:rFonts w:ascii="Times New Roman"/>
                <w:highlight w:val="none"/>
              </w:rPr>
              <w:t>2.2.4(3)</w:t>
            </w:r>
          </w:p>
        </w:tc>
        <w:tc>
          <w:tcPr>
            <w:tcW w:w="1480" w:type="dxa"/>
            <w:gridSpan w:val="2"/>
            <w:tcMar>
              <w:top w:w="57" w:type="dxa"/>
              <w:left w:w="57" w:type="dxa"/>
              <w:bottom w:w="57" w:type="dxa"/>
              <w:right w:w="57" w:type="dxa"/>
            </w:tcMar>
            <w:vAlign w:val="center"/>
          </w:tcPr>
          <w:p>
            <w:pPr>
              <w:pStyle w:val="105"/>
              <w:spacing w:before="130"/>
              <w:ind w:left="99" w:right="90"/>
              <w:jc w:val="center"/>
              <w:rPr>
                <w:highlight w:val="none"/>
              </w:rPr>
            </w:pPr>
            <w:r>
              <w:rPr>
                <w:highlight w:val="none"/>
              </w:rPr>
              <w:t>评标价</w:t>
            </w:r>
          </w:p>
        </w:tc>
        <w:tc>
          <w:tcPr>
            <w:tcW w:w="1170" w:type="dxa"/>
            <w:tcMar>
              <w:top w:w="57" w:type="dxa"/>
              <w:left w:w="57" w:type="dxa"/>
              <w:bottom w:w="57" w:type="dxa"/>
              <w:right w:w="57" w:type="dxa"/>
            </w:tcMar>
            <w:vAlign w:val="center"/>
          </w:tcPr>
          <w:p>
            <w:pPr>
              <w:pStyle w:val="105"/>
              <w:tabs>
                <w:tab w:val="left" w:pos="314"/>
              </w:tabs>
              <w:ind w:right="97"/>
              <w:jc w:val="center"/>
              <w:rPr>
                <w:highlight w:val="none"/>
              </w:rPr>
            </w:pPr>
            <w:r>
              <w:rPr>
                <w:rFonts w:hint="eastAsia" w:ascii="Times New Roman"/>
                <w:highlight w:val="none"/>
                <w:lang w:val="en-US"/>
              </w:rPr>
              <w:t>10</w:t>
            </w:r>
            <w:r>
              <w:rPr>
                <w:w w:val="95"/>
                <w:highlight w:val="none"/>
              </w:rPr>
              <w:t>分</w:t>
            </w:r>
          </w:p>
        </w:tc>
        <w:tc>
          <w:tcPr>
            <w:tcW w:w="5282" w:type="dxa"/>
            <w:gridSpan w:val="3"/>
            <w:tcMar>
              <w:top w:w="57" w:type="dxa"/>
              <w:left w:w="57" w:type="dxa"/>
              <w:bottom w:w="57" w:type="dxa"/>
              <w:right w:w="57" w:type="dxa"/>
            </w:tcMar>
          </w:tcPr>
          <w:p>
            <w:pPr>
              <w:spacing w:line="360" w:lineRule="auto"/>
              <w:ind w:firstLine="420" w:firstLineChars="200"/>
              <w:rPr>
                <w:highlight w:val="none"/>
              </w:rPr>
            </w:pPr>
            <w:r>
              <w:rPr>
                <w:highlight w:val="none"/>
              </w:rPr>
              <w:t>（1）如果投标人的评标价&gt;评标基准价，则评标价得分＝F－偏差率×100× E1；</w:t>
            </w:r>
          </w:p>
          <w:p>
            <w:pPr>
              <w:spacing w:line="360" w:lineRule="auto"/>
              <w:ind w:firstLine="420" w:firstLineChars="200"/>
              <w:rPr>
                <w:highlight w:val="none"/>
              </w:rPr>
            </w:pPr>
            <w:r>
              <w:rPr>
                <w:highlight w:val="none"/>
              </w:rPr>
              <w:t>（2）如果投标人的评标价≤评标基准价，则评标价得分＝F＋偏差率× 100× E2。</w:t>
            </w:r>
          </w:p>
          <w:p>
            <w:pPr>
              <w:spacing w:line="360" w:lineRule="auto"/>
              <w:ind w:firstLine="420" w:firstLineChars="200"/>
              <w:rPr>
                <w:highlight w:val="none"/>
              </w:rPr>
            </w:pPr>
            <w:r>
              <w:rPr>
                <w:highlight w:val="none"/>
              </w:rPr>
              <w:t>其中：F是评标价所占的权重分值，E1是评标价每高于评标基准价一个百分点的扣分值，E2是评标价每低于评标基准价一个百分点的扣分值</w:t>
            </w:r>
          </w:p>
          <w:p>
            <w:pPr>
              <w:spacing w:line="360" w:lineRule="auto"/>
              <w:ind w:firstLine="420" w:firstLineChars="200"/>
              <w:rPr>
                <w:highlight w:val="none"/>
              </w:rPr>
            </w:pPr>
            <w:r>
              <w:rPr>
                <w:highlight w:val="none"/>
              </w:rPr>
              <w:t>E1</w:t>
            </w:r>
            <w:r>
              <w:rPr>
                <w:rFonts w:hint="eastAsia"/>
                <w:highlight w:val="none"/>
              </w:rPr>
              <w:t>是评标价每高于评标基准价一个百分点的扣分值，</w:t>
            </w:r>
          </w:p>
          <w:p>
            <w:pPr>
              <w:spacing w:line="360" w:lineRule="auto"/>
              <w:ind w:firstLine="420" w:firstLineChars="200"/>
              <w:rPr>
                <w:highlight w:val="none"/>
              </w:rPr>
            </w:pPr>
            <w:r>
              <w:rPr>
                <w:highlight w:val="none"/>
              </w:rPr>
              <w:t>E2</w:t>
            </w:r>
            <w:r>
              <w:rPr>
                <w:rFonts w:hint="eastAsia"/>
                <w:highlight w:val="none"/>
              </w:rPr>
              <w:t>是评标价每低于评标基准价一个百分点的扣分值</w:t>
            </w:r>
            <w:r>
              <w:rPr>
                <w:highlight w:val="none"/>
              </w:rPr>
              <w:t>, 招标人可依据招标项目具体特点和实际需要设置E1、E2</w:t>
            </w:r>
            <w:r>
              <w:rPr>
                <w:rFonts w:hint="eastAsia"/>
                <w:highlight w:val="none"/>
              </w:rPr>
              <w:t>；</w:t>
            </w:r>
          </w:p>
          <w:p>
            <w:pPr>
              <w:spacing w:line="360" w:lineRule="auto"/>
              <w:ind w:firstLine="420" w:firstLineChars="200"/>
              <w:rPr>
                <w:rFonts w:ascii="黑体" w:eastAsia="黑体"/>
                <w:highlight w:val="none"/>
              </w:rPr>
            </w:pPr>
            <w:r>
              <w:rPr>
                <w:highlight w:val="none"/>
              </w:rPr>
              <w:t xml:space="preserve"> E1=0.2, E2=0.1</w:t>
            </w:r>
          </w:p>
        </w:tc>
      </w:tr>
    </w:tbl>
    <w:p>
      <w:pPr>
        <w:pStyle w:val="11"/>
        <w:spacing w:before="3"/>
        <w:rPr>
          <w:sz w:val="27"/>
          <w:highlight w:val="none"/>
        </w:rPr>
      </w:pPr>
      <w:r>
        <w:rPr>
          <w:highlight w:val="none"/>
        </w:rPr>
        <mc:AlternateContent>
          <mc:Choice Requires="wps">
            <w:drawing>
              <wp:anchor distT="0" distB="0" distL="0" distR="0" simplePos="0" relativeHeight="251667456" behindDoc="1" locked="0" layoutInCell="1" allowOverlap="1">
                <wp:simplePos x="0" y="0"/>
                <wp:positionH relativeFrom="page">
                  <wp:posOffset>1043305</wp:posOffset>
                </wp:positionH>
                <wp:positionV relativeFrom="paragraph">
                  <wp:posOffset>246380</wp:posOffset>
                </wp:positionV>
                <wp:extent cx="1828800" cy="0"/>
                <wp:effectExtent l="0" t="0" r="0" b="0"/>
                <wp:wrapTopAndBottom/>
                <wp:docPr id="65" name="直线 44"/>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wps:wsp>
                  </a:graphicData>
                </a:graphic>
              </wp:anchor>
            </w:drawing>
          </mc:Choice>
          <mc:Fallback>
            <w:pict>
              <v:line id="直线 44" o:spid="_x0000_s1026" o:spt="20" style="position:absolute;left:0pt;margin-left:82.15pt;margin-top:19.4pt;height:0pt;width:144pt;mso-position-horizontal-relative:page;mso-wrap-distance-bottom:0pt;mso-wrap-distance-top:0pt;z-index:-251649024;mso-width-relative:page;mso-height-relative:page;" filled="f" stroked="t" coordsize="21600,21600" o:gfxdata="UEsDBAoAAAAAAIdO4kAAAAAAAAAAAAAAAAAEAAAAZHJzL1BLAwQUAAAACACHTuJAabEDr9YAAAAJ&#10;AQAADwAAAGRycy9kb3ducmV2LnhtbE2PzU7DMBCE70i8g7VI3KidpkRViNNDERdAQg1IcHTjJUmx&#10;11Hs/vD2LOJQjjP7aXamWp28Ewec4hBIQzZTIJDaYAfqNLy9PtwsQcRkyBoXCDV8Y4RVfXlRmdKG&#10;I23w0KROcAjF0mjoUxpLKWPbozdxFkYkvn2GyZvEcuqkncyRw72Tc6UK6c1A/KE3I657bL+avdeg&#10;Xp6KD/m83u3eH+83yuSNU1mj9fVVpu5AJDylMwy/9bk61NxpG/Zko3Csi0XOqIZ8yRMYWNzO2dj+&#10;GbKu5P8F9Q9QSwMEFAAAAAgAh07iQOmEPVXdAQAAzgMAAA4AAABkcnMvZTJvRG9jLnhtbK1TS27b&#10;MBDdF8gdCO5jyUYaGILlLOKmm6I10PYAY5KSCPAHDmPZZ+k1uuqmx8k1OqQcJ003XlQLajgcvpn3&#10;Zri6O1jD9iqi9q7l81nNmXLCS+36ln//9nC95AwTOAnGO9Xyo0J+t756txpDoxZ+8EaqyAjEYTOG&#10;lg8phaaqUAzKAs58UI4OOx8tJNrGvpIRRkK3plrU9W01+ihD9EIhknczHfITYrwE0HedFmrjxaNV&#10;Lk2oURlIRAkHHZCvS7Vdp0T60nWoEjMtJ6aprJSE7F1eq/UKmj5CGLQ4lQCXlPCGkwXtKOkZagMJ&#10;2GPU/0BZLaJH36WZ8LaaiBRFiMW8fqPN1wGCKlxIagxn0fH/wYrP+21kWrb89j1nDix1/OnHz6df&#10;v9nNTVZnDNhQ0L3bxtMOwzZmqocu2vwnEuxQFD2eFVWHxAQ558vFclmT2OL5rHq5GCKmj8pblo2W&#10;G+0yWWhg/wkTJaPQ55DsNo6NJY0AGruO2k2wNlDp6PpyEb3R8kEbk8Mx9rt7E9kecuvLl/kQ6F9h&#10;OcMGcJjiytE0FIMC+cFJlo6BNHH0FnjOb5XkzCh6OtkiQGgSaHNJJKU2jirIkk4iZmvn5bFoW/zU&#10;5lLjaSTzHL3el9svz3D9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GmxA6/WAAAACQEAAA8AAAAA&#10;AAAAAQAgAAAAIgAAAGRycy9kb3ducmV2LnhtbFBLAQIUABQAAAAIAIdO4kDphD1V3QEAAM4DAAAO&#10;AAAAAAAAAAEAIAAAACUBAABkcnMvZTJvRG9jLnhtbFBLBQYAAAAABgAGAFkBAAB0BQAAAAA=&#10;">
                <v:fill on="f" focussize="0,0"/>
                <v:stroke weight="0pt" color="#000000" joinstyle="round"/>
                <v:imagedata o:title=""/>
                <o:lock v:ext="edit" aspectratio="f"/>
                <w10:wrap type="topAndBottom"/>
              </v:line>
            </w:pict>
          </mc:Fallback>
        </mc:AlternateContent>
      </w:r>
    </w:p>
    <w:p>
      <w:pPr>
        <w:spacing w:before="161" w:line="312" w:lineRule="auto"/>
        <w:ind w:left="464" w:right="502" w:hanging="180"/>
        <w:jc w:val="left"/>
        <w:rPr>
          <w:rFonts w:ascii="黑体" w:hAnsi="黑体" w:eastAsia="黑体"/>
          <w:sz w:val="18"/>
          <w:highlight w:val="none"/>
        </w:rPr>
      </w:pPr>
      <w:r>
        <w:rPr>
          <w:position w:val="9"/>
          <w:sz w:val="9"/>
          <w:highlight w:val="none"/>
        </w:rPr>
        <w:t xml:space="preserve">① </w:t>
      </w:r>
      <w:r>
        <w:rPr>
          <w:rFonts w:hint="eastAsia" w:ascii="黑体" w:hAnsi="黑体" w:eastAsia="黑体"/>
          <w:sz w:val="18"/>
          <w:highlight w:val="none"/>
        </w:rPr>
        <w:t>招标人应根据项目具体情况确定各评分因素及评分因素权重分值，并对各评分因素进行细分（如有）</w:t>
      </w:r>
      <w:r>
        <w:rPr>
          <w:rFonts w:hint="eastAsia" w:ascii="黑体" w:hAnsi="黑体" w:eastAsia="黑体"/>
          <w:spacing w:val="-7"/>
          <w:sz w:val="18"/>
          <w:highlight w:val="none"/>
        </w:rPr>
        <w:t>、确定</w:t>
      </w:r>
      <w:r>
        <w:rPr>
          <w:rFonts w:hint="eastAsia" w:ascii="黑体" w:hAnsi="黑体" w:eastAsia="黑体"/>
          <w:spacing w:val="-2"/>
          <w:sz w:val="18"/>
          <w:highlight w:val="none"/>
        </w:rPr>
        <w:t xml:space="preserve">各评分因素细分项的分值，各评分因素权重分值合计应为 </w:t>
      </w:r>
      <w:r>
        <w:rPr>
          <w:rFonts w:hint="eastAsia" w:ascii="黑体" w:hAnsi="黑体" w:eastAsia="黑体"/>
          <w:sz w:val="18"/>
          <w:highlight w:val="none"/>
        </w:rPr>
        <w:t>100</w:t>
      </w:r>
      <w:r>
        <w:rPr>
          <w:rFonts w:hint="eastAsia" w:ascii="黑体" w:hAnsi="黑体" w:eastAsia="黑体"/>
          <w:spacing w:val="-7"/>
          <w:sz w:val="18"/>
          <w:highlight w:val="none"/>
        </w:rPr>
        <w:t xml:space="preserve"> 分。各评分因素</w:t>
      </w:r>
      <w:r>
        <w:rPr>
          <w:rFonts w:hint="eastAsia" w:ascii="黑体" w:hAnsi="黑体" w:eastAsia="黑体"/>
          <w:sz w:val="18"/>
          <w:highlight w:val="none"/>
        </w:rPr>
        <w:t>（</w:t>
      </w:r>
      <w:r>
        <w:rPr>
          <w:rFonts w:hint="eastAsia" w:ascii="黑体" w:hAnsi="黑体" w:eastAsia="黑体"/>
          <w:spacing w:val="-2"/>
          <w:sz w:val="18"/>
          <w:highlight w:val="none"/>
        </w:rPr>
        <w:t>评标价和履约信誉评分项除</w:t>
      </w:r>
    </w:p>
    <w:p>
      <w:pPr>
        <w:ind w:left="464"/>
        <w:jc w:val="left"/>
        <w:rPr>
          <w:rFonts w:ascii="黑体" w:eastAsia="黑体"/>
          <w:sz w:val="18"/>
          <w:highlight w:val="none"/>
        </w:rPr>
      </w:pPr>
      <w:r>
        <w:rPr>
          <w:rFonts w:hint="eastAsia" w:ascii="黑体" w:eastAsia="黑体"/>
          <w:sz w:val="18"/>
          <w:highlight w:val="none"/>
        </w:rPr>
        <w:t>外）得分一般不得低于其权重分值的</w:t>
      </w:r>
      <w:r>
        <w:rPr>
          <w:rFonts w:hint="eastAsia" w:ascii="黑体" w:eastAsia="黑体"/>
          <w:spacing w:val="-46"/>
          <w:sz w:val="18"/>
          <w:highlight w:val="none"/>
        </w:rPr>
        <w:t xml:space="preserve"> </w:t>
      </w:r>
      <w:r>
        <w:rPr>
          <w:rFonts w:hint="eastAsia" w:ascii="黑体" w:eastAsia="黑体"/>
          <w:sz w:val="18"/>
          <w:highlight w:val="none"/>
        </w:rPr>
        <w:t>80</w:t>
      </w:r>
      <w:r>
        <w:rPr>
          <w:rFonts w:hint="eastAsia" w:ascii="黑体" w:eastAsia="黑体"/>
          <w:spacing w:val="-2"/>
          <w:sz w:val="18"/>
          <w:highlight w:val="none"/>
        </w:rPr>
        <w:drawing>
          <wp:inline distT="0" distB="0" distL="0" distR="0">
            <wp:extent cx="53340" cy="81915"/>
            <wp:effectExtent l="0" t="0" r="7620" b="9525"/>
            <wp:docPr id="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png"/>
                    <pic:cNvPicPr>
                      <a:picLocks noChangeAspect="1"/>
                    </pic:cNvPicPr>
                  </pic:nvPicPr>
                  <pic:blipFill>
                    <a:blip r:embed="rId25" cstate="print"/>
                    <a:stretch>
                      <a:fillRect/>
                    </a:stretch>
                  </pic:blipFill>
                  <pic:spPr>
                    <a:xfrm>
                      <a:off x="0" y="0"/>
                      <a:ext cx="53974" cy="82549"/>
                    </a:xfrm>
                    <a:prstGeom prst="rect">
                      <a:avLst/>
                    </a:prstGeom>
                  </pic:spPr>
                </pic:pic>
              </a:graphicData>
            </a:graphic>
          </wp:inline>
        </w:drawing>
      </w:r>
      <w:r>
        <w:rPr>
          <w:rFonts w:hint="eastAsia" w:ascii="黑体" w:eastAsia="黑体"/>
          <w:sz w:val="18"/>
          <w:highlight w:val="none"/>
        </w:rPr>
        <w:t>，且各评分因素得分应以评标委员会各成员的打分平均值确定，评</w:t>
      </w:r>
    </w:p>
    <w:p>
      <w:pPr>
        <w:spacing w:before="69"/>
        <w:ind w:left="464"/>
        <w:jc w:val="left"/>
        <w:rPr>
          <w:rFonts w:ascii="黑体" w:eastAsia="黑体"/>
          <w:sz w:val="18"/>
          <w:highlight w:val="none"/>
        </w:rPr>
      </w:pPr>
      <w:r>
        <w:rPr>
          <w:rFonts w:hint="eastAsia" w:ascii="黑体" w:eastAsia="黑体"/>
          <w:sz w:val="18"/>
          <w:highlight w:val="none"/>
        </w:rPr>
        <w:t>标委员会成员总数为 7 人以上时，该平均值以去掉一个最高分和一个最低分后计算。评标委员会成员对某一</w:t>
      </w:r>
    </w:p>
    <w:p>
      <w:pPr>
        <w:spacing w:before="70"/>
        <w:ind w:left="464"/>
        <w:jc w:val="left"/>
        <w:rPr>
          <w:rFonts w:ascii="黑体" w:eastAsia="黑体"/>
          <w:sz w:val="18"/>
          <w:highlight w:val="none"/>
        </w:rPr>
      </w:pPr>
      <w:r>
        <w:rPr>
          <w:rFonts w:hint="eastAsia" w:ascii="黑体" w:eastAsia="黑体"/>
          <w:sz w:val="18"/>
          <w:highlight w:val="none"/>
        </w:rPr>
        <w:t>项评分因素的评分低于权重分值</w:t>
      </w:r>
      <w:r>
        <w:rPr>
          <w:rFonts w:hint="eastAsia" w:ascii="黑体" w:eastAsia="黑体"/>
          <w:spacing w:val="-46"/>
          <w:sz w:val="18"/>
          <w:highlight w:val="none"/>
        </w:rPr>
        <w:t xml:space="preserve"> </w:t>
      </w:r>
      <w:r>
        <w:rPr>
          <w:rFonts w:hint="eastAsia" w:ascii="黑体" w:eastAsia="黑体"/>
          <w:sz w:val="18"/>
          <w:highlight w:val="none"/>
        </w:rPr>
        <w:t>80</w:t>
      </w:r>
      <w:r>
        <w:rPr>
          <w:rFonts w:hint="eastAsia" w:ascii="黑体" w:eastAsia="黑体"/>
          <w:spacing w:val="-2"/>
          <w:sz w:val="18"/>
          <w:highlight w:val="none"/>
        </w:rPr>
        <w:drawing>
          <wp:inline distT="0" distB="0" distL="0" distR="0">
            <wp:extent cx="53340" cy="81915"/>
            <wp:effectExtent l="0" t="0" r="7620" b="9525"/>
            <wp:docPr id="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1.png"/>
                    <pic:cNvPicPr>
                      <a:picLocks noChangeAspect="1"/>
                    </pic:cNvPicPr>
                  </pic:nvPicPr>
                  <pic:blipFill>
                    <a:blip r:embed="rId25" cstate="print"/>
                    <a:stretch>
                      <a:fillRect/>
                    </a:stretch>
                  </pic:blipFill>
                  <pic:spPr>
                    <a:xfrm>
                      <a:off x="0" y="0"/>
                      <a:ext cx="53974" cy="82549"/>
                    </a:xfrm>
                    <a:prstGeom prst="rect">
                      <a:avLst/>
                    </a:prstGeom>
                  </pic:spPr>
                </pic:pic>
              </a:graphicData>
            </a:graphic>
          </wp:inline>
        </w:drawing>
      </w:r>
      <w:r>
        <w:rPr>
          <w:rFonts w:hint="eastAsia" w:ascii="黑体" w:eastAsia="黑体"/>
          <w:sz w:val="18"/>
          <w:highlight w:val="none"/>
        </w:rPr>
        <w:t>的，应在评标报告中作出说明。</w:t>
      </w:r>
    </w:p>
    <w:p>
      <w:pPr>
        <w:spacing w:before="88"/>
        <w:ind w:left="284"/>
        <w:jc w:val="left"/>
        <w:rPr>
          <w:sz w:val="18"/>
          <w:highlight w:val="none"/>
        </w:rPr>
      </w:pPr>
      <w:r>
        <w:rPr>
          <w:position w:val="9"/>
          <w:sz w:val="9"/>
          <w:highlight w:val="none"/>
        </w:rPr>
        <w:t xml:space="preserve">② </w:t>
      </w:r>
      <w:r>
        <w:rPr>
          <w:sz w:val="18"/>
          <w:highlight w:val="none"/>
        </w:rPr>
        <w:t>招标人应列明各评分因素或各评分因素细分项</w:t>
      </w:r>
      <w:r>
        <w:rPr>
          <w:rFonts w:eastAsia="Times New Roman"/>
          <w:sz w:val="18"/>
          <w:highlight w:val="none"/>
        </w:rPr>
        <w:t>(</w:t>
      </w:r>
      <w:r>
        <w:rPr>
          <w:sz w:val="18"/>
          <w:highlight w:val="none"/>
        </w:rPr>
        <w:t>如有</w:t>
      </w:r>
      <w:r>
        <w:rPr>
          <w:rFonts w:eastAsia="Times New Roman"/>
          <w:sz w:val="18"/>
          <w:highlight w:val="none"/>
        </w:rPr>
        <w:t>)</w:t>
      </w:r>
      <w:r>
        <w:rPr>
          <w:sz w:val="18"/>
          <w:highlight w:val="none"/>
        </w:rPr>
        <w:t>的评分标准并作为评标委员会进行评分的依据。</w:t>
      </w:r>
    </w:p>
    <w:p>
      <w:pPr>
        <w:jc w:val="left"/>
        <w:rPr>
          <w:sz w:val="18"/>
          <w:highlight w:val="none"/>
        </w:rPr>
        <w:sectPr>
          <w:headerReference r:id="rId15" w:type="default"/>
          <w:pgSz w:w="11910" w:h="16840"/>
          <w:pgMar w:top="1280" w:right="1120" w:bottom="1200" w:left="1360" w:header="0" w:footer="1011" w:gutter="0"/>
          <w:pgBorders>
            <w:top w:val="none" w:sz="0" w:space="0"/>
            <w:left w:val="none" w:sz="0" w:space="0"/>
            <w:bottom w:val="none" w:sz="0" w:space="0"/>
            <w:right w:val="none" w:sz="0" w:space="0"/>
          </w:pgBorders>
          <w:cols w:space="720" w:num="1"/>
        </w:sectPr>
      </w:pPr>
    </w:p>
    <w:p>
      <w:pPr>
        <w:pStyle w:val="11"/>
        <w:spacing w:before="4" w:after="1"/>
        <w:rPr>
          <w:sz w:val="23"/>
          <w:highlight w:val="none"/>
        </w:rPr>
      </w:pPr>
    </w:p>
    <w:tbl>
      <w:tblPr>
        <w:tblStyle w:val="38"/>
        <w:tblW w:w="0" w:type="auto"/>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53"/>
        <w:gridCol w:w="430"/>
        <w:gridCol w:w="656"/>
        <w:gridCol w:w="1170"/>
        <w:gridCol w:w="1714"/>
        <w:gridCol w:w="822"/>
        <w:gridCol w:w="27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0" w:hRule="atLeast"/>
        </w:trPr>
        <w:tc>
          <w:tcPr>
            <w:tcW w:w="1353" w:type="dxa"/>
            <w:vMerge w:val="restart"/>
            <w:vAlign w:val="center"/>
          </w:tcPr>
          <w:p>
            <w:pPr>
              <w:jc w:val="center"/>
              <w:rPr>
                <w:highlight w:val="none"/>
              </w:rPr>
            </w:pPr>
          </w:p>
          <w:p>
            <w:pPr>
              <w:jc w:val="center"/>
              <w:rPr>
                <w:highlight w:val="none"/>
              </w:rPr>
            </w:pPr>
          </w:p>
          <w:p>
            <w:pPr>
              <w:jc w:val="center"/>
              <w:rPr>
                <w:highlight w:val="none"/>
              </w:rPr>
            </w:pPr>
            <w:r>
              <w:rPr>
                <w:highlight w:val="none"/>
              </w:rPr>
              <w:t>条款号</w:t>
            </w:r>
          </w:p>
        </w:tc>
        <w:tc>
          <w:tcPr>
            <w:tcW w:w="4792" w:type="dxa"/>
            <w:gridSpan w:val="5"/>
            <w:vAlign w:val="center"/>
          </w:tcPr>
          <w:p>
            <w:pPr>
              <w:jc w:val="center"/>
              <w:rPr>
                <w:highlight w:val="none"/>
              </w:rPr>
            </w:pPr>
            <w:r>
              <w:rPr>
                <w:highlight w:val="none"/>
              </w:rPr>
              <w:t>评分因素与权重分值</w:t>
            </w:r>
          </w:p>
        </w:tc>
        <w:tc>
          <w:tcPr>
            <w:tcW w:w="2746" w:type="dxa"/>
            <w:vMerge w:val="restart"/>
            <w:vAlign w:val="center"/>
          </w:tcPr>
          <w:p>
            <w:pPr>
              <w:jc w:val="center"/>
              <w:rPr>
                <w:highlight w:val="none"/>
              </w:rPr>
            </w:pPr>
            <w:r>
              <w:rPr>
                <w:highlight w:val="none"/>
              </w:rPr>
              <w:t>评分标准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atLeast"/>
        </w:trPr>
        <w:tc>
          <w:tcPr>
            <w:tcW w:w="1353" w:type="dxa"/>
            <w:vMerge w:val="continue"/>
            <w:tcBorders>
              <w:top w:val="nil"/>
            </w:tcBorders>
            <w:vAlign w:val="center"/>
          </w:tcPr>
          <w:p>
            <w:pPr>
              <w:jc w:val="center"/>
              <w:rPr>
                <w:highlight w:val="none"/>
              </w:rPr>
            </w:pPr>
          </w:p>
        </w:tc>
        <w:tc>
          <w:tcPr>
            <w:tcW w:w="1086" w:type="dxa"/>
            <w:gridSpan w:val="2"/>
            <w:vAlign w:val="center"/>
          </w:tcPr>
          <w:p>
            <w:pPr>
              <w:jc w:val="center"/>
              <w:rPr>
                <w:highlight w:val="none"/>
              </w:rPr>
            </w:pPr>
          </w:p>
          <w:p>
            <w:pPr>
              <w:jc w:val="center"/>
              <w:rPr>
                <w:highlight w:val="none"/>
              </w:rPr>
            </w:pPr>
            <w:r>
              <w:rPr>
                <w:highlight w:val="none"/>
              </w:rPr>
              <w:t>评分因素</w:t>
            </w:r>
          </w:p>
        </w:tc>
        <w:tc>
          <w:tcPr>
            <w:tcW w:w="1170" w:type="dxa"/>
            <w:vAlign w:val="center"/>
          </w:tcPr>
          <w:p>
            <w:pPr>
              <w:jc w:val="center"/>
              <w:rPr>
                <w:highlight w:val="none"/>
              </w:rPr>
            </w:pPr>
            <w:r>
              <w:rPr>
                <w:highlight w:val="none"/>
              </w:rPr>
              <w:t>评分因素权重分值</w:t>
            </w:r>
          </w:p>
        </w:tc>
        <w:tc>
          <w:tcPr>
            <w:tcW w:w="1714" w:type="dxa"/>
            <w:vAlign w:val="center"/>
          </w:tcPr>
          <w:p>
            <w:pPr>
              <w:jc w:val="center"/>
              <w:rPr>
                <w:highlight w:val="none"/>
              </w:rPr>
            </w:pPr>
            <w:r>
              <w:rPr>
                <w:highlight w:val="none"/>
              </w:rPr>
              <w:t>各评分因素细分项</w:t>
            </w:r>
          </w:p>
        </w:tc>
        <w:tc>
          <w:tcPr>
            <w:tcW w:w="822" w:type="dxa"/>
            <w:vAlign w:val="center"/>
          </w:tcPr>
          <w:p>
            <w:pPr>
              <w:jc w:val="center"/>
              <w:rPr>
                <w:highlight w:val="none"/>
              </w:rPr>
            </w:pPr>
            <w:r>
              <w:rPr>
                <w:highlight w:val="none"/>
              </w:rPr>
              <w:t>分值</w:t>
            </w:r>
          </w:p>
        </w:tc>
        <w:tc>
          <w:tcPr>
            <w:tcW w:w="2746" w:type="dxa"/>
            <w:vMerge w:val="continue"/>
            <w:tcBorders>
              <w:top w:val="nil"/>
            </w:tcBorders>
            <w:vAlign w:val="center"/>
          </w:tcPr>
          <w:p>
            <w:pPr>
              <w:jc w:val="center"/>
              <w:rPr>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3" w:hRule="atLeast"/>
        </w:trPr>
        <w:tc>
          <w:tcPr>
            <w:tcW w:w="1353" w:type="dxa"/>
            <w:vMerge w:val="restart"/>
            <w:tcBorders>
              <w:top w:val="nil"/>
            </w:tcBorders>
            <w:vAlign w:val="center"/>
          </w:tcPr>
          <w:p>
            <w:pPr>
              <w:spacing w:line="360" w:lineRule="auto"/>
              <w:jc w:val="center"/>
              <w:rPr>
                <w:highlight w:val="none"/>
              </w:rPr>
            </w:pPr>
            <w:r>
              <w:rPr>
                <w:highlight w:val="none"/>
              </w:rPr>
              <w:t>2.2.4(</w:t>
            </w:r>
            <w:r>
              <w:rPr>
                <w:rFonts w:hint="eastAsia"/>
                <w:highlight w:val="none"/>
              </w:rPr>
              <w:t>4</w:t>
            </w:r>
            <w:r>
              <w:rPr>
                <w:highlight w:val="none"/>
              </w:rPr>
              <w:t>)</w:t>
            </w:r>
          </w:p>
          <w:p>
            <w:pPr>
              <w:pStyle w:val="105"/>
              <w:rPr>
                <w:sz w:val="22"/>
                <w:highlight w:val="none"/>
              </w:rPr>
            </w:pPr>
          </w:p>
          <w:p>
            <w:pPr>
              <w:pStyle w:val="105"/>
              <w:rPr>
                <w:sz w:val="22"/>
                <w:highlight w:val="none"/>
              </w:rPr>
            </w:pPr>
          </w:p>
          <w:p>
            <w:pPr>
              <w:pStyle w:val="105"/>
              <w:spacing w:before="11"/>
              <w:rPr>
                <w:sz w:val="20"/>
                <w:highlight w:val="none"/>
              </w:rPr>
            </w:pPr>
          </w:p>
          <w:p>
            <w:pPr>
              <w:pStyle w:val="105"/>
              <w:ind w:left="366"/>
              <w:rPr>
                <w:rFonts w:ascii="Times New Roman"/>
                <w:highlight w:val="none"/>
              </w:rPr>
            </w:pPr>
          </w:p>
        </w:tc>
        <w:tc>
          <w:tcPr>
            <w:tcW w:w="430" w:type="dxa"/>
            <w:vMerge w:val="restart"/>
            <w:tcBorders>
              <w:top w:val="nil"/>
            </w:tcBorders>
            <w:vAlign w:val="center"/>
          </w:tcPr>
          <w:p>
            <w:pPr>
              <w:spacing w:line="360" w:lineRule="auto"/>
              <w:jc w:val="center"/>
              <w:rPr>
                <w:highlight w:val="none"/>
              </w:rPr>
            </w:pPr>
            <w:r>
              <w:rPr>
                <w:rFonts w:hint="eastAsia"/>
                <w:highlight w:val="none"/>
              </w:rPr>
              <w:t>其他因素</w:t>
            </w:r>
          </w:p>
        </w:tc>
        <w:tc>
          <w:tcPr>
            <w:tcW w:w="656" w:type="dxa"/>
            <w:vAlign w:val="center"/>
          </w:tcPr>
          <w:p>
            <w:pPr>
              <w:jc w:val="center"/>
              <w:rPr>
                <w:highlight w:val="none"/>
              </w:rPr>
            </w:pPr>
            <w:r>
              <w:rPr>
                <w:highlight w:val="none"/>
              </w:rPr>
              <w:t>业绩</w:t>
            </w:r>
          </w:p>
        </w:tc>
        <w:tc>
          <w:tcPr>
            <w:tcW w:w="1170" w:type="dxa"/>
            <w:vAlign w:val="center"/>
          </w:tcPr>
          <w:p>
            <w:pPr>
              <w:spacing w:line="360" w:lineRule="auto"/>
              <w:jc w:val="center"/>
              <w:rPr>
                <w:highlight w:val="none"/>
              </w:rPr>
            </w:pPr>
            <w:r>
              <w:rPr>
                <w:rFonts w:hint="eastAsia"/>
                <w:highlight w:val="none"/>
              </w:rPr>
              <w:t>20</w:t>
            </w:r>
            <w:r>
              <w:rPr>
                <w:highlight w:val="none"/>
              </w:rPr>
              <w:t>分</w:t>
            </w:r>
          </w:p>
        </w:tc>
        <w:tc>
          <w:tcPr>
            <w:tcW w:w="5282" w:type="dxa"/>
            <w:gridSpan w:val="3"/>
          </w:tcPr>
          <w:p>
            <w:pPr>
              <w:spacing w:line="360" w:lineRule="auto"/>
              <w:ind w:firstLine="420" w:firstLineChars="200"/>
              <w:rPr>
                <w:highlight w:val="none"/>
              </w:rPr>
            </w:pPr>
          </w:p>
          <w:p>
            <w:pPr>
              <w:spacing w:line="360" w:lineRule="auto"/>
              <w:rPr>
                <w:highlight w:val="none"/>
              </w:rPr>
            </w:pPr>
            <w:r>
              <w:rPr>
                <w:highlight w:val="none"/>
              </w:rPr>
              <w:t>1</w:t>
            </w:r>
            <w:r>
              <w:rPr>
                <w:rFonts w:hint="eastAsia"/>
                <w:highlight w:val="none"/>
              </w:rPr>
              <w:t>、满足资格审查条件（业绩最低要求）得6分；</w:t>
            </w:r>
          </w:p>
          <w:p>
            <w:pPr>
              <w:spacing w:line="360" w:lineRule="auto"/>
              <w:rPr>
                <w:highlight w:val="none"/>
              </w:rPr>
            </w:pPr>
            <w:r>
              <w:rPr>
                <w:rFonts w:hint="eastAsia"/>
                <w:highlight w:val="none"/>
              </w:rPr>
              <w:t>1标段（水土保持监测）：</w:t>
            </w:r>
            <w:r>
              <w:rPr>
                <w:highlight w:val="none"/>
              </w:rPr>
              <w:t>2</w:t>
            </w:r>
            <w:r>
              <w:rPr>
                <w:rFonts w:hint="eastAsia"/>
                <w:highlight w:val="none"/>
              </w:rPr>
              <w:t>、每增加1个高速公路水土保持监测业绩的加4分，最多加8分；每增加1个交通运输类水土保持监测业绩的加3分，最多加6分；本项最多加14分。</w:t>
            </w:r>
          </w:p>
          <w:p>
            <w:pPr>
              <w:pStyle w:val="2"/>
              <w:spacing w:line="360" w:lineRule="auto"/>
              <w:rPr>
                <w:highlight w:val="none"/>
              </w:rPr>
            </w:pPr>
            <w:r>
              <w:rPr>
                <w:rFonts w:ascii="Times New Roman"/>
                <w:b w:val="0"/>
                <w:sz w:val="21"/>
                <w:highlight w:val="none"/>
              </w:rPr>
              <w:t>2标段（环境监测服务）</w:t>
            </w:r>
            <w:r>
              <w:rPr>
                <w:rFonts w:hint="eastAsia" w:ascii="Times New Roman"/>
                <w:b w:val="0"/>
                <w:sz w:val="21"/>
                <w:highlight w:val="none"/>
              </w:rPr>
              <w:t>：2、每增加1个高速公路环境监测业绩的加8分，最多加8分；每增加1个交通运输类环境监测业绩的加3分，最多加6分；本项最多加14分。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0" w:hRule="atLeast"/>
        </w:trPr>
        <w:tc>
          <w:tcPr>
            <w:tcW w:w="1353" w:type="dxa"/>
            <w:vMerge w:val="continue"/>
          </w:tcPr>
          <w:p>
            <w:pPr>
              <w:pStyle w:val="105"/>
              <w:ind w:left="366"/>
              <w:rPr>
                <w:rFonts w:ascii="Times New Roman"/>
                <w:highlight w:val="none"/>
              </w:rPr>
            </w:pPr>
          </w:p>
        </w:tc>
        <w:tc>
          <w:tcPr>
            <w:tcW w:w="430" w:type="dxa"/>
            <w:vMerge w:val="continue"/>
          </w:tcPr>
          <w:p>
            <w:pPr>
              <w:pStyle w:val="105"/>
              <w:spacing w:line="248" w:lineRule="exact"/>
              <w:ind w:left="117"/>
              <w:rPr>
                <w:highlight w:val="none"/>
                <w:lang w:val="en-US"/>
              </w:rPr>
            </w:pPr>
          </w:p>
        </w:tc>
        <w:tc>
          <w:tcPr>
            <w:tcW w:w="656" w:type="dxa"/>
          </w:tcPr>
          <w:p>
            <w:pPr>
              <w:jc w:val="center"/>
              <w:rPr>
                <w:highlight w:val="none"/>
              </w:rPr>
            </w:pPr>
          </w:p>
          <w:p>
            <w:pPr>
              <w:jc w:val="center"/>
              <w:rPr>
                <w:highlight w:val="none"/>
              </w:rPr>
            </w:pPr>
          </w:p>
          <w:p>
            <w:pPr>
              <w:jc w:val="center"/>
              <w:rPr>
                <w:highlight w:val="none"/>
              </w:rPr>
            </w:pPr>
          </w:p>
          <w:p>
            <w:pPr>
              <w:jc w:val="center"/>
              <w:rPr>
                <w:highlight w:val="none"/>
              </w:rPr>
            </w:pPr>
            <w:r>
              <w:rPr>
                <w:highlight w:val="none"/>
              </w:rPr>
              <w:t>履约</w:t>
            </w:r>
          </w:p>
          <w:p>
            <w:pPr>
              <w:jc w:val="center"/>
              <w:rPr>
                <w:highlight w:val="none"/>
                <w:lang w:val="zh-CN"/>
              </w:rPr>
            </w:pPr>
            <w:r>
              <w:rPr>
                <w:highlight w:val="none"/>
              </w:rPr>
              <w:t>信誉</w:t>
            </w:r>
          </w:p>
        </w:tc>
        <w:tc>
          <w:tcPr>
            <w:tcW w:w="1170" w:type="dxa"/>
          </w:tcPr>
          <w:p>
            <w:pPr>
              <w:pStyle w:val="105"/>
              <w:rPr>
                <w:sz w:val="22"/>
                <w:highlight w:val="none"/>
              </w:rPr>
            </w:pPr>
          </w:p>
          <w:p>
            <w:pPr>
              <w:pStyle w:val="105"/>
              <w:rPr>
                <w:sz w:val="22"/>
                <w:highlight w:val="none"/>
              </w:rPr>
            </w:pPr>
          </w:p>
          <w:p>
            <w:pPr>
              <w:pStyle w:val="105"/>
              <w:spacing w:before="6"/>
              <w:rPr>
                <w:sz w:val="18"/>
                <w:highlight w:val="none"/>
              </w:rPr>
            </w:pPr>
          </w:p>
          <w:p>
            <w:pPr>
              <w:pStyle w:val="105"/>
              <w:tabs>
                <w:tab w:val="left" w:pos="663"/>
              </w:tabs>
              <w:ind w:left="348"/>
              <w:rPr>
                <w:highlight w:val="none"/>
                <w:lang w:val="en-US"/>
              </w:rPr>
            </w:pPr>
            <w:r>
              <w:rPr>
                <w:rFonts w:hint="eastAsia" w:ascii="Times New Roman"/>
                <w:w w:val="99"/>
                <w:highlight w:val="none"/>
                <w:lang w:val="en-US"/>
              </w:rPr>
              <w:t>5</w:t>
            </w:r>
            <w:r>
              <w:rPr>
                <w:highlight w:val="none"/>
              </w:rPr>
              <w:t>分</w:t>
            </w:r>
          </w:p>
        </w:tc>
        <w:tc>
          <w:tcPr>
            <w:tcW w:w="5282" w:type="dxa"/>
            <w:gridSpan w:val="3"/>
          </w:tcPr>
          <w:p>
            <w:pPr>
              <w:pStyle w:val="105"/>
              <w:spacing w:before="2"/>
              <w:rPr>
                <w:sz w:val="28"/>
                <w:highlight w:val="none"/>
              </w:rPr>
            </w:pPr>
          </w:p>
          <w:p>
            <w:pPr>
              <w:spacing w:line="360" w:lineRule="auto"/>
              <w:rPr>
                <w:rFonts w:ascii="宋体" w:hAnsi="宋体" w:cs="宋体"/>
                <w:sz w:val="10"/>
                <w:highlight w:val="none"/>
                <w:lang w:val="zh-CN" w:bidi="zh-CN"/>
              </w:rPr>
            </w:pPr>
            <w:r>
              <w:rPr>
                <w:highlight w:val="none"/>
              </w:rPr>
              <w:t>1.</w:t>
            </w:r>
            <w:r>
              <w:rPr>
                <w:rFonts w:hint="eastAsia"/>
                <w:highlight w:val="none"/>
              </w:rPr>
              <w:t>满足资格审查条件（信誉最低要求）及投标人须知第</w:t>
            </w:r>
            <w:r>
              <w:rPr>
                <w:highlight w:val="none"/>
              </w:rPr>
              <w:t xml:space="preserve">1.4.4 </w:t>
            </w:r>
            <w:r>
              <w:rPr>
                <w:rFonts w:hint="eastAsia"/>
                <w:highlight w:val="none"/>
              </w:rPr>
              <w:t>项的规定，得5分。</w:t>
            </w:r>
          </w:p>
        </w:tc>
      </w:tr>
    </w:tbl>
    <w:p>
      <w:pPr>
        <w:pStyle w:val="11"/>
        <w:spacing w:before="9"/>
        <w:rPr>
          <w:sz w:val="16"/>
          <w:highlight w:val="none"/>
        </w:rPr>
      </w:pPr>
      <w:r>
        <w:rPr>
          <w:highlight w:val="none"/>
        </w:rPr>
        <mc:AlternateContent>
          <mc:Choice Requires="wps">
            <w:drawing>
              <wp:anchor distT="0" distB="0" distL="0" distR="0" simplePos="0" relativeHeight="251668480" behindDoc="1" locked="0" layoutInCell="1" allowOverlap="1">
                <wp:simplePos x="0" y="0"/>
                <wp:positionH relativeFrom="page">
                  <wp:posOffset>1043305</wp:posOffset>
                </wp:positionH>
                <wp:positionV relativeFrom="paragraph">
                  <wp:posOffset>160655</wp:posOffset>
                </wp:positionV>
                <wp:extent cx="1828800" cy="0"/>
                <wp:effectExtent l="0" t="0" r="0" b="0"/>
                <wp:wrapTopAndBottom/>
                <wp:docPr id="66" name="直线 45"/>
                <wp:cNvGraphicFramePr/>
                <a:graphic xmlns:a="http://schemas.openxmlformats.org/drawingml/2006/main">
                  <a:graphicData uri="http://schemas.microsoft.com/office/word/2010/wordprocessingShape">
                    <wps:wsp>
                      <wps:cNvCnPr/>
                      <wps:spPr>
                        <a:xfrm>
                          <a:off x="0" y="0"/>
                          <a:ext cx="1828800" cy="0"/>
                        </a:xfrm>
                        <a:prstGeom prst="line">
                          <a:avLst/>
                        </a:prstGeom>
                        <a:ln w="0" cap="flat" cmpd="sng">
                          <a:solidFill>
                            <a:srgbClr val="000000"/>
                          </a:solidFill>
                          <a:prstDash val="solid"/>
                          <a:headEnd type="none" w="med" len="med"/>
                          <a:tailEnd type="none" w="med" len="med"/>
                        </a:ln>
                      </wps:spPr>
                      <wps:bodyPr/>
                    </wps:wsp>
                  </a:graphicData>
                </a:graphic>
              </wp:anchor>
            </w:drawing>
          </mc:Choice>
          <mc:Fallback>
            <w:pict>
              <v:line id="直线 45" o:spid="_x0000_s1026" o:spt="20" style="position:absolute;left:0pt;margin-left:82.15pt;margin-top:12.65pt;height:0pt;width:144pt;mso-position-horizontal-relative:page;mso-wrap-distance-bottom:0pt;mso-wrap-distance-top:0pt;z-index:-251648000;mso-width-relative:page;mso-height-relative:page;" filled="f" stroked="t" coordsize="21600,21600" o:gfxdata="UEsDBAoAAAAAAIdO4kAAAAAAAAAAAAAAAAAEAAAAZHJzL1BLAwQUAAAACACHTuJAmnSyh9cAAAAJ&#10;AQAADwAAAGRycy9kb3ducmV2LnhtbE2Py07DQAxF90j8w8hI7OhM0jZCIZMuitgAEmpAgqWbMUnK&#10;PKLM9MHfY8SirOxrX10fV6uTs+JAUxyC15DNFAjybTCD7zS8vT7c3IKICb1BGzxp+KYIq/ryosLS&#10;hKPf0KFJneAQH0vU0Kc0llLGtieHcRZG8rz7DJPDxHLqpJnwyOHOylypQjocPF/ocaR1T+1Xs3ca&#10;1MtT8SGf17vd++P9RuG8sSprtL6+ytQdiESndDbDLz6jQ81M27D3JgrLuljM2aohX3Jlw2KZc7P9&#10;G8i6kv8/qH8AUEsDBBQAAAAIAIdO4kBEX2Qj3QEAAM4DAAAOAAAAZHJzL2Uyb0RvYy54bWytU0tu&#10;2zAQ3RfoHQjua8lGahiC5SzipJuiNdD2AGOSkgjwBw5j2WfpNbrqpsfJNTqkHKdNN15UC2o4HL6Z&#10;92a4vj1aww4qovau5fNZzZlywkvt+pZ/+/rwbsUZJnASjHeq5SeF/Hbz9s16DI1a+MEbqSIjEIfN&#10;GFo+pBSaqkIxKAs480E5Oux8tJBoG/tKRhgJ3ZpqUdfLavRRhuiFQiTvdjrkZ8R4DaDvOi3U1otH&#10;q1yaUKMykIgSDjog35Rqu06J9LnrUCVmWk5MU1kpCdn7vFabNTR9hDBocS4BrinhFScL2lHSC9QW&#10;ErDHqP+BslpEj75LM+FtNREpihCLef1Kmy8DBFW4kNQYLqLj/4MVnw67yLRs+XLJmQNLHX/6/uPp&#10;5y928z6rMwZsKOjO7eJ5h2EXM9VjF23+Ewl2LIqeLoqqY2KCnPPVYrWqSWzxfFa9XAwR0wflLctG&#10;y412mSw0cPiIiZJR6HNIdhvHxpJGAI1dR+0mWBuodHR9uYjeaPmgjcnhGPv9nYnsALn15ct8CPSv&#10;sJxhCzhMceVoGopBgbx3kqVTIE0cvQWe81slOTOKnk62CBCaBNpcE0mpjaMKsqSTiNnae3kq2hY/&#10;tbnUeB7JPEd/7svtl2e4+Q1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adLKH1wAAAAkBAAAPAAAA&#10;AAAAAAEAIAAAACIAAABkcnMvZG93bnJldi54bWxQSwECFAAUAAAACACHTuJARF9kI90BAADOAwAA&#10;DgAAAAAAAAABACAAAAAmAQAAZHJzL2Uyb0RvYy54bWxQSwUGAAAAAAYABgBZAQAAdQUAAAAA&#10;">
                <v:fill on="f" focussize="0,0"/>
                <v:stroke weight="0pt" color="#000000" joinstyle="round"/>
                <v:imagedata o:title=""/>
                <o:lock v:ext="edit" aspectratio="f"/>
                <w10:wrap type="topAndBottom"/>
              </v:line>
            </w:pict>
          </mc:Fallback>
        </mc:AlternateContent>
      </w:r>
    </w:p>
    <w:p>
      <w:pPr>
        <w:pStyle w:val="11"/>
        <w:spacing w:before="8"/>
        <w:rPr>
          <w:sz w:val="5"/>
          <w:highlight w:val="none"/>
        </w:rPr>
      </w:pPr>
    </w:p>
    <w:p>
      <w:pPr>
        <w:spacing w:before="70"/>
        <w:ind w:left="284"/>
        <w:jc w:val="left"/>
        <w:rPr>
          <w:sz w:val="18"/>
          <w:highlight w:val="none"/>
        </w:rPr>
      </w:pPr>
      <w:r>
        <w:rPr>
          <w:position w:val="9"/>
          <w:sz w:val="9"/>
          <w:highlight w:val="none"/>
        </w:rPr>
        <w:t xml:space="preserve">③ </w:t>
      </w:r>
      <w:r>
        <w:rPr>
          <w:sz w:val="18"/>
          <w:highlight w:val="none"/>
        </w:rPr>
        <w:t>根据项目实际情况确定，原则上是指与招标项目类似的企业业绩，可在企业业绩最低要求的基础上适当提高。</w:t>
      </w:r>
    </w:p>
    <w:p>
      <w:pPr>
        <w:spacing w:before="69" w:line="312" w:lineRule="auto"/>
        <w:ind w:left="464" w:right="502" w:hanging="180"/>
        <w:rPr>
          <w:rFonts w:ascii="黑体" w:hAnsi="黑体" w:eastAsia="黑体"/>
          <w:sz w:val="18"/>
          <w:highlight w:val="none"/>
        </w:rPr>
        <w:sectPr>
          <w:pgSz w:w="11910" w:h="16840"/>
          <w:pgMar w:top="1280" w:right="1120" w:bottom="1280" w:left="1360" w:header="0" w:footer="1011" w:gutter="0"/>
          <w:pgBorders>
            <w:top w:val="none" w:sz="0" w:space="0"/>
            <w:left w:val="none" w:sz="0" w:space="0"/>
            <w:bottom w:val="none" w:sz="0" w:space="0"/>
            <w:right w:val="none" w:sz="0" w:space="0"/>
          </w:pgBorders>
          <w:cols w:space="720" w:num="1"/>
        </w:sectPr>
      </w:pPr>
      <w:r>
        <w:rPr>
          <w:position w:val="9"/>
          <w:sz w:val="9"/>
          <w:highlight w:val="none"/>
        </w:rPr>
        <w:t xml:space="preserve">④ </w:t>
      </w:r>
      <w:r>
        <w:rPr>
          <w:rFonts w:hint="eastAsia" w:ascii="黑体" w:hAnsi="黑体" w:eastAsia="黑体"/>
          <w:spacing w:val="-1"/>
          <w:sz w:val="18"/>
          <w:highlight w:val="none"/>
        </w:rPr>
        <w:t>除准入业绩的基本分外，业绩加分项不得低于两档，且前一档比例不得低于后一档比例，最后一档的加分比</w:t>
      </w:r>
      <w:r>
        <w:rPr>
          <w:rFonts w:hint="eastAsia" w:ascii="黑体" w:hAnsi="黑体" w:eastAsia="黑体"/>
          <w:sz w:val="18"/>
          <w:highlight w:val="none"/>
        </w:rPr>
        <w:t>例不低于</w:t>
      </w:r>
      <w:r>
        <w:rPr>
          <w:rFonts w:hint="eastAsia" w:ascii="黑体" w:hAnsi="黑体" w:eastAsia="黑体"/>
          <w:spacing w:val="-46"/>
          <w:sz w:val="18"/>
          <w:highlight w:val="none"/>
        </w:rPr>
        <w:t xml:space="preserve"> </w:t>
      </w:r>
      <w:r>
        <w:rPr>
          <w:rFonts w:hint="eastAsia" w:ascii="黑体" w:hAnsi="黑体" w:eastAsia="黑体"/>
          <w:sz w:val="18"/>
          <w:highlight w:val="none"/>
        </w:rPr>
        <w:t>30</w:t>
      </w:r>
      <w:r>
        <w:rPr>
          <w:rFonts w:hint="eastAsia" w:ascii="黑体" w:hAnsi="黑体" w:eastAsia="黑体"/>
          <w:spacing w:val="-2"/>
          <w:sz w:val="18"/>
          <w:highlight w:val="none"/>
        </w:rPr>
        <w:drawing>
          <wp:inline distT="0" distB="0" distL="0" distR="0">
            <wp:extent cx="53340" cy="81915"/>
            <wp:effectExtent l="0" t="0" r="7620" b="9525"/>
            <wp:docPr id="39"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png"/>
                    <pic:cNvPicPr>
                      <a:picLocks noChangeAspect="1"/>
                    </pic:cNvPicPr>
                  </pic:nvPicPr>
                  <pic:blipFill>
                    <a:blip r:embed="rId25" cstate="print"/>
                    <a:stretch>
                      <a:fillRect/>
                    </a:stretch>
                  </pic:blipFill>
                  <pic:spPr>
                    <a:xfrm>
                      <a:off x="0" y="0"/>
                      <a:ext cx="53974" cy="82549"/>
                    </a:xfrm>
                    <a:prstGeom prst="rect">
                      <a:avLst/>
                    </a:prstGeom>
                  </pic:spPr>
                </pic:pic>
              </a:graphicData>
            </a:graphic>
          </wp:inline>
        </w:drawing>
      </w:r>
      <w:r>
        <w:rPr>
          <w:rFonts w:hint="eastAsia" w:ascii="黑体" w:hAnsi="黑体" w:eastAsia="黑体"/>
          <w:sz w:val="18"/>
          <w:highlight w:val="none"/>
        </w:rPr>
        <w:t>。业绩奖励加分项，应为不低于招标工程主要内容的同类别工程（土建工程（路基、桥隧）、路面工程、交通安全设施工程、房建工程、机电工程等）。</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1. 评标方法</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本次评标采用综合评估法。评标委员会对满足招标文件实质性要求的投标文件，按照本章第2.2款规定的评分标准进行打分，并按得分由高到低顺序推荐中标候选人，或根据招标人授权直接确定中标人，但投标报价低于其成本的除外。综合评分相等时，评标委员会应按照评标办法前附表规定的优先次序推荐中标候选人或确定中标人。</w:t>
      </w:r>
    </w:p>
    <w:p>
      <w:pPr>
        <w:pStyle w:val="3"/>
        <w:spacing w:before="36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2. 评审标准</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2.1 初步评审标准</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2.1.1 形式评审标准：见评标办法前附表。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2.1.2 资格评审标准：见评标办法前附表。（适用于未进行资格预审的）</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2.1.2 资格评审标准：见资格预审文件第三章“资格审查办法”详细审查标准。（适用于已进行资格预审的）</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2.1.3 响应性评审标准：见评标办法前附表。</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2.2 分值构成与评分标准</w:t>
      </w:r>
    </w:p>
    <w:p>
      <w:pPr>
        <w:tabs>
          <w:tab w:val="left" w:pos="360"/>
        </w:tabs>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2.2.1 分值构成</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（1）技术建议书：见评标办法前附表；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（2）主要人员：见评标办法前附表；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（3）评标价：见评标办法前附表；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（4）其他评分因素：见评标办法前附表。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2.2.2 评标基准价计算</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评标基准价计算方法：见评标办法前附表。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2.2.3 评标价的偏差率计算</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评标价的偏差率计算公式：见评标办法前附表。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2.2.4 评分标准</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（1）技术建议书评分标准：见评标办法前附表；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（2）主要人员评分标准：见评标办法前附表；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（3）评标价评分标准：见评标办法前附表；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（4）其他因素评分标准：见评标办法前附表。</w:t>
      </w:r>
    </w:p>
    <w:p>
      <w:pPr>
        <w:pStyle w:val="3"/>
        <w:spacing w:before="36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 评标程序</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3.1 第一个信封初步评审</w:t>
      </w:r>
    </w:p>
    <w:p>
      <w:pPr>
        <w:spacing w:line="440" w:lineRule="atLeast"/>
        <w:ind w:firstLine="480" w:firstLineChars="200"/>
        <w:rPr>
          <w:rFonts w:hint="eastAsia" w:ascii="宋体" w:hAnsi="宋体" w:eastAsia="宋体" w:cs="宋体"/>
          <w:sz w:val="24"/>
          <w:szCs w:val="24"/>
          <w:highlight w:val="none"/>
        </w:rPr>
      </w:pPr>
      <w:bookmarkStart w:id="226" w:name="_Hlk28622525"/>
      <w:r>
        <w:rPr>
          <w:rFonts w:hint="eastAsia" w:ascii="宋体" w:hAnsi="宋体" w:eastAsia="宋体" w:cs="宋体"/>
          <w:sz w:val="24"/>
          <w:szCs w:val="24"/>
          <w:highlight w:val="none"/>
        </w:rPr>
        <w:t xml:space="preserve">* </w:t>
      </w:r>
      <w:bookmarkEnd w:id="226"/>
      <w:r>
        <w:rPr>
          <w:rFonts w:hint="eastAsia" w:ascii="宋体" w:hAnsi="宋体" w:eastAsia="宋体" w:cs="宋体"/>
          <w:sz w:val="24"/>
          <w:szCs w:val="24"/>
          <w:highlight w:val="none"/>
        </w:rPr>
        <w:t>3.1.1 评标委员会可以要求投标人提交第二章“投标人须知”第3.5.1项至第3.5.5项规定的有关证明和证件的原件，以便核验。评标委员会依据本章第2.1款规定的标准对投标文件第一个信封（商务及技术文件）进行初步评审。有一项不符合评审标准的，评标委员会应否决其投标。（适用于未进行资格预审的）</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3.1.1 评标委员会依据本章第2.1.1项、第2.1.3项规定的评审标准对投标文件第一个信封（商务及技术文件）进行初步评审。有一项不符合评审标准的，评标委员会应否决其投标。当投标人资格预审申请文件的内容发生重大变化时，评标委员会依据本章第2.1.2项规定的标准对其更新资料进行评审。（适用于已进行资格预审的）</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3.2 第一个信封详细评审</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3.2.1 评标委员会按本章第2.2款规定的量化因素和分值进行打分，并计算出各投标人的商务和技术得分。</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（1）按本章第2.2.4项（1）目规定的评审因素和分值对技术建议书部分计算出得分A；</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（2）按本章第2.2.4项（2）目规定的评审因素和分值对主要人员部分计算出得分B；</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（3）按本章第2.2.4项（4）目规定的评审因素和分值对其他部分计算出得分D。</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3.2.2 投标人的商务和技术得分分值计算保留小数点后两位，小数点后第三位“四舍五入”。</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3.2.3 投标人的商务和技术得分=A+B+D。 </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3.3 第二个信封开标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第一个信封（商务及技术文件）评审结束后，招标人将按照第二章“投标人须知”第5.1款规定的时间和地点对通过投标文件第一个信封（商务及技术文件）评审的投标文件第二个信封（报价文件）进行开标。</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3.4 第二个信封初步评审</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3.4.1 评标委员会依据本章第2.1.1项、第2.1.3项规定的评审标准对投标文件第二个信封（报价文件）进行初步评审。有一项不符合评审标准的，评标委员会应否决其投标。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3.4.2 投标报价有算术错误的，评标委员会按以下原则对投标报价进行修正，修正的价格经投标人书面确认后具有约束力。投标人不接受修正价格的，评标委员会应否决其投标。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（1）投标文件中的大写金额与小写金额不一致的，以大写金额为准；</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（2）总价金额与依据单价计算出的结果不一致的，以单价金额为准修正总价，但单价金额小数点有明显错误的除外；</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（3）当单价与数量相乘不等于合价时，以单价计算为准，如果单价有明显的小数点位置差错，应以标出的合价为准，同时对单价予以修正；</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（4）当各子目的合价累计不等于总价时，应以各子目合价累计数为准，修正总价。</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3.4.3 修正后的最终投标报价若超过最高投标限价（如有），评标委员会应否决其投标。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3.4.4 修正后的最终投标报价仅作为签订合同的一个依据，不参与评标价得分的计算。</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3.5 第二个信封详细评审</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3.5.1 评标委员会按本章第2.2.4项（3）目规定的评审因素和分值对评标价计算出得分C。评标价得分分值计算保留小数点后两位，小数点后第三位“四舍五入”。</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3.5.2 投标人综合得分=投标人的商务和技术得分+C。</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3.5.3 评标委员会发现投标人的报价明显低于其他投标报价，使得其投标报价可能低于其个别成本的，应要求该投标人作出书面说明并提供相应的证明材料。投标人不能合理说明或不能提供相应证明材料的，评标委员会应认定该投标人以低于成本报价竞标，并否决其投标。</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sz w:val="24"/>
          <w:szCs w:val="24"/>
          <w:highlight w:val="none"/>
        </w:rPr>
        <w:t xml:space="preserve">* </w:t>
      </w:r>
      <w:r>
        <w:rPr>
          <w:rFonts w:hint="eastAsia" w:ascii="宋体" w:hAnsi="宋体" w:eastAsia="宋体" w:cs="宋体"/>
          <w:b w:val="0"/>
          <w:sz w:val="24"/>
          <w:szCs w:val="24"/>
          <w:highlight w:val="none"/>
        </w:rPr>
        <w:t>3.6 投标文件相关信息的核查</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评标委员会应对在评标过程中发现的投标人与投标人之间、投标人与招标人之间存在的串通投标的情形进行评审和认定。投标人存在串通投标、弄虚作假、行贿等违法行为的，评标委员会应否决其投标。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（1）有下列情形之一的，属于投标人相互串通投标：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a.投标人之间协商投标报价等投标文件的实质性内容；</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b.投标人之间约定中标人；</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c.投标人之间约定部分投标人放弃投标或中标；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d.属于同一集团、协会、商会等组织成员的投标人按照该组织要求协同投标；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e.投标人之间为谋取中标或排斥特定投标人而采取的其他联合行动。</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（2）有下列情形之一的，视为投标人相互串通投标：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a.不同投标人的投标文件由同一单位或个人编制；</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b.不同投标人委托同一单位或个人办理投标事宜；</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c.不同投标人的投标文件载明的项目管理成员为同一人；</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d.不同投标人的投标文件异常一致或投标报价呈规律性差异；</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e.不同投标人的投标文件相互混装；</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f.不同投标人的投标保证金从同一单位或个人的账户转出。</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（3）有下列情形之一的，属于招标人与投标人串通投标：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a.招标人在开标前开启投标文件并将有关信息泄露给其他投标人;</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b.招标人直接或间接向投标人泄露标底、评标委员会成员等信息；</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c.招标人明示或暗示投标人压低或抬高投标报价；</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d.招标人授意投标人撤换、修改投标文件；</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e.招标人明示或暗示投标人为特定投标人中标提供方便；</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f.招标人与投标人为谋求特定投标人中标而采取的其他串通行为。</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（4）投标人有下列情形之一的，属于弄虚作假的行为：</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a.使用通过受让或租借等方式获取的资格、资质证书投标；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b.使用伪造、变造的许可证件；</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c.提供虚假的业绩；</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d.提供虚假的项目负责人或主要技术人员简历、劳动关系证明；</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e.提供虚假的信用状况；</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f.其他弄虚作假的行为。</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3.7 投标文件的澄清和说明</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3.7.1 在评标过程中，评标委员会可以书面形式要求投标人对投标文件中含义不明确的内容、明显文字或计算错误进行书面澄清或说明。评标委员会不接受投标人主动提出的澄清、说明。投标人不按评标委员会要求澄清或说明的，评标委员会应否决其投标。</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3.7.2 澄清和说明不得超出投标文件的范围或改变投标文件的实质性内容（算术性错误的修正除外）。投标人的书面澄清、说明属于投标文件的组成部分。</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3.7.3 评标委员会不得暗示或诱导投标人作出澄清、说明，对投标人提交的澄清、说明有疑问的，可以要求投标人进一步澄清或说明，直至满足评标委员会的要求。</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3.7.4 凡超出招标文件规定的或给委托人带来未曾要求的利益的变化、偏差或其他因素在评标时不予考虑。</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3.8 不得否决投标的情形</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投标文件存在第二章“投标人须知”第1.12.3项所列情形的，均视为细微偏差，评标委员会不得否决投标人的投标，应按照第二章“投标人须知”第1.12.4项规定的原则处理。</w:t>
      </w:r>
    </w:p>
    <w:p>
      <w:pPr>
        <w:pStyle w:val="3"/>
        <w:spacing w:before="240" w:after="240" w:line="440" w:lineRule="atLeast"/>
        <w:rPr>
          <w:rFonts w:hint="eastAsia" w:ascii="宋体" w:hAnsi="宋体" w:eastAsia="宋体" w:cs="宋体"/>
          <w:b w:val="0"/>
          <w:sz w:val="24"/>
          <w:szCs w:val="24"/>
          <w:highlight w:val="none"/>
        </w:rPr>
      </w:pPr>
      <w:r>
        <w:rPr>
          <w:rFonts w:hint="eastAsia" w:ascii="宋体" w:hAnsi="宋体" w:eastAsia="宋体" w:cs="宋体"/>
          <w:b w:val="0"/>
          <w:sz w:val="24"/>
          <w:szCs w:val="24"/>
          <w:highlight w:val="none"/>
        </w:rPr>
        <w:t>3.9 评标结果</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3.9.1 除第二章“投标人须知”前附表授权直接确定中标人外，评标委员会按照得分由高到低的顺序推荐中标候选人，并标明排序。</w:t>
      </w:r>
    </w:p>
    <w:p>
      <w:pPr>
        <w:spacing w:line="440" w:lineRule="atLeast"/>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3.9.2 评标委员会完成评标后，应向招标人提交书面评标报告。</w:t>
      </w:r>
    </w:p>
    <w:p>
      <w:pPr>
        <w:spacing w:before="60" w:beforeLines="25" w:after="60" w:afterLines="25" w:line="300" w:lineRule="auto"/>
        <w:ind w:firstLine="456" w:firstLineChars="200"/>
        <w:rPr>
          <w:rFonts w:ascii="宋体" w:hAnsi="宋体"/>
          <w:bCs/>
          <w:spacing w:val="-6"/>
          <w:sz w:val="24"/>
          <w:highlight w:val="none"/>
        </w:rPr>
      </w:pPr>
    </w:p>
    <w:p>
      <w:pPr>
        <w:spacing w:before="60" w:beforeLines="25" w:after="60" w:afterLines="25" w:line="300" w:lineRule="auto"/>
        <w:ind w:firstLine="456" w:firstLineChars="200"/>
        <w:rPr>
          <w:rFonts w:ascii="宋体" w:hAnsi="宋体"/>
          <w:bCs/>
          <w:spacing w:val="-6"/>
          <w:sz w:val="24"/>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rPr>
          <w:highlight w:val="none"/>
        </w:rPr>
      </w:pPr>
    </w:p>
    <w:p>
      <w:pPr>
        <w:pStyle w:val="3"/>
        <w:keepLines/>
        <w:spacing w:line="360" w:lineRule="auto"/>
        <w:jc w:val="center"/>
        <w:rPr>
          <w:rFonts w:ascii="黑体" w:eastAsia="黑体"/>
          <w:b w:val="0"/>
          <w:bCs/>
          <w:kern w:val="44"/>
          <w:position w:val="0"/>
          <w:szCs w:val="32"/>
          <w:highlight w:val="none"/>
        </w:rPr>
      </w:pPr>
      <w:bookmarkStart w:id="227" w:name="_Toc241635444"/>
      <w:bookmarkStart w:id="228" w:name="_Toc22458"/>
      <w:r>
        <w:rPr>
          <w:rFonts w:hint="eastAsia" w:ascii="黑体" w:eastAsia="黑体"/>
          <w:b w:val="0"/>
          <w:bCs/>
          <w:kern w:val="44"/>
          <w:position w:val="0"/>
          <w:szCs w:val="32"/>
          <w:highlight w:val="none"/>
        </w:rPr>
        <w:t>第四章  合同</w:t>
      </w:r>
      <w:bookmarkEnd w:id="227"/>
      <w:r>
        <w:rPr>
          <w:rFonts w:hint="eastAsia" w:ascii="黑体" w:eastAsia="黑体"/>
          <w:b w:val="0"/>
          <w:bCs/>
          <w:kern w:val="44"/>
          <w:position w:val="0"/>
          <w:szCs w:val="32"/>
          <w:highlight w:val="none"/>
        </w:rPr>
        <w:t>条款及格式</w:t>
      </w:r>
      <w:bookmarkEnd w:id="228"/>
    </w:p>
    <w:p>
      <w:pPr>
        <w:autoSpaceDE w:val="0"/>
        <w:autoSpaceDN w:val="0"/>
        <w:spacing w:line="360" w:lineRule="exact"/>
        <w:jc w:val="center"/>
        <w:rPr>
          <w:rFonts w:ascii="宋体" w:hAnsi="宋体"/>
          <w:b/>
          <w:bCs/>
          <w:position w:val="0"/>
          <w:sz w:val="36"/>
          <w:szCs w:val="36"/>
          <w:highlight w:val="none"/>
        </w:rPr>
      </w:pPr>
      <w:r>
        <w:rPr>
          <w:position w:val="0"/>
          <w:sz w:val="24"/>
          <w:highlight w:val="none"/>
        </w:rPr>
        <w:br w:type="page"/>
      </w:r>
    </w:p>
    <w:p>
      <w:pPr>
        <w:adjustRightInd w:val="0"/>
        <w:spacing w:line="440" w:lineRule="atLeast"/>
        <w:jc w:val="center"/>
        <w:textAlignment w:val="baseline"/>
        <w:outlineLvl w:val="1"/>
        <w:rPr>
          <w:b/>
          <w:sz w:val="32"/>
          <w:highlight w:val="none"/>
        </w:rPr>
      </w:pPr>
      <w:bookmarkStart w:id="229" w:name="_Toc512501005"/>
      <w:bookmarkStart w:id="230" w:name="_Toc513817600"/>
      <w:bookmarkStart w:id="231" w:name="_Toc512500857"/>
      <w:bookmarkStart w:id="232" w:name="_Toc28263"/>
      <w:bookmarkStart w:id="233" w:name="_Toc508200340"/>
      <w:bookmarkStart w:id="234" w:name="_Toc506006059"/>
      <w:bookmarkStart w:id="235" w:name="_Toc508201277"/>
      <w:bookmarkStart w:id="236" w:name="_Toc492300638"/>
      <w:r>
        <w:rPr>
          <w:rFonts w:eastAsia="黑体"/>
          <w:b/>
          <w:spacing w:val="1"/>
          <w:sz w:val="32"/>
          <w:szCs w:val="32"/>
          <w:highlight w:val="none"/>
        </w:rPr>
        <w:t>第一节 通用合同条款</w:t>
      </w:r>
      <w:bookmarkEnd w:id="229"/>
      <w:bookmarkEnd w:id="230"/>
      <w:bookmarkEnd w:id="231"/>
      <w:bookmarkEnd w:id="232"/>
    </w:p>
    <w:p>
      <w:pPr>
        <w:pStyle w:val="107"/>
        <w:spacing w:before="260" w:after="260" w:line="440" w:lineRule="atLeast"/>
        <w:rPr>
          <w:rFonts w:ascii="Times New Roman" w:hAnsi="Times New Roman" w:eastAsia="黑体"/>
          <w:b/>
          <w:spacing w:val="1"/>
          <w:sz w:val="32"/>
          <w:szCs w:val="32"/>
          <w:highlight w:val="none"/>
          <w:lang w:eastAsia="zh-CN"/>
        </w:rPr>
      </w:pPr>
      <w:bookmarkStart w:id="237" w:name="_Toc513817601"/>
      <w:bookmarkStart w:id="238" w:name="_Toc1136"/>
      <w:bookmarkStart w:id="239" w:name="_Toc604"/>
      <w:r>
        <w:rPr>
          <w:rFonts w:ascii="Times New Roman" w:hAnsi="Times New Roman" w:eastAsia="黑体"/>
          <w:b/>
          <w:spacing w:val="1"/>
          <w:sz w:val="32"/>
          <w:szCs w:val="32"/>
          <w:highlight w:val="none"/>
          <w:lang w:eastAsia="zh-CN"/>
        </w:rPr>
        <w:t>1. 一般约定</w:t>
      </w:r>
      <w:bookmarkEnd w:id="233"/>
      <w:bookmarkEnd w:id="234"/>
      <w:bookmarkEnd w:id="235"/>
      <w:bookmarkEnd w:id="237"/>
      <w:bookmarkEnd w:id="238"/>
      <w:bookmarkEnd w:id="239"/>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40" w:name="_Toc508201278"/>
      <w:bookmarkStart w:id="241" w:name="_Toc506006060"/>
      <w:bookmarkStart w:id="242" w:name="_Toc18224"/>
      <w:bookmarkStart w:id="243" w:name="_Toc28353"/>
      <w:bookmarkStart w:id="244" w:name="_Toc508200341"/>
      <w:r>
        <w:rPr>
          <w:rFonts w:ascii="Times New Roman" w:hAnsi="Times New Roman" w:eastAsia="黑体"/>
          <w:sz w:val="28"/>
          <w:szCs w:val="21"/>
          <w:highlight w:val="none"/>
          <w:lang w:eastAsia="zh-CN"/>
        </w:rPr>
        <w:t>1.1 词语定义</w:t>
      </w:r>
      <w:bookmarkEnd w:id="240"/>
      <w:bookmarkEnd w:id="241"/>
      <w:bookmarkEnd w:id="242"/>
      <w:bookmarkEnd w:id="243"/>
      <w:bookmarkEnd w:id="244"/>
    </w:p>
    <w:p>
      <w:pPr>
        <w:pStyle w:val="108"/>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z w:val="24"/>
          <w:szCs w:val="24"/>
          <w:highlight w:val="none"/>
          <w:lang w:eastAsia="zh-CN"/>
        </w:rPr>
        <w:t>通用合同条款、专用合同条款中的下列词语应具有本款所赋予的含义。</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1.1.1</w:t>
      </w:r>
      <w:r>
        <w:rPr>
          <w:rFonts w:ascii="Times New Roman" w:hAnsi="Times New Roman" w:eastAsia="宋体"/>
          <w:spacing w:val="1"/>
          <w:sz w:val="24"/>
          <w:szCs w:val="24"/>
          <w:highlight w:val="none"/>
          <w:lang w:eastAsia="zh-CN"/>
        </w:rPr>
        <w:t>合同</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1.1.1.1</w:t>
      </w:r>
      <w:r>
        <w:rPr>
          <w:rFonts w:ascii="Times New Roman" w:hAnsi="Times New Roman" w:eastAsia="宋体"/>
          <w:spacing w:val="-1"/>
          <w:sz w:val="24"/>
          <w:szCs w:val="24"/>
          <w:highlight w:val="none"/>
          <w:lang w:eastAsia="zh-CN"/>
        </w:rPr>
        <w:t>合同文件（或称合同）：指合同协议书、中标通知书、投标函和投标函附录、专用</w:t>
      </w:r>
      <w:r>
        <w:rPr>
          <w:rFonts w:ascii="Times New Roman" w:hAnsi="Times New Roman" w:eastAsia="宋体"/>
          <w:spacing w:val="1"/>
          <w:sz w:val="24"/>
          <w:szCs w:val="24"/>
          <w:highlight w:val="none"/>
          <w:lang w:eastAsia="zh-CN"/>
        </w:rPr>
        <w:t>合同条款、通用合同条款、委托人要求、服务费用清单、服务方案，以及其他构成合同组成部分的文件。</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1.1.1.2</w:t>
      </w:r>
      <w:r>
        <w:rPr>
          <w:rFonts w:ascii="Times New Roman" w:hAnsi="Times New Roman" w:eastAsia="宋体"/>
          <w:sz w:val="24"/>
          <w:szCs w:val="24"/>
          <w:highlight w:val="none"/>
          <w:lang w:eastAsia="zh-CN"/>
        </w:rPr>
        <w:t>合同协议书：指委托人和</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共同签署的合同协议书。</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1.1.1.3</w:t>
      </w:r>
      <w:r>
        <w:rPr>
          <w:rFonts w:ascii="Times New Roman" w:hAnsi="Times New Roman" w:eastAsia="宋体"/>
          <w:sz w:val="24"/>
          <w:szCs w:val="24"/>
          <w:highlight w:val="none"/>
          <w:lang w:eastAsia="zh-CN"/>
        </w:rPr>
        <w:t>中标通知书：指委托人通知</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中标的函件。</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1.1.1.4</w:t>
      </w:r>
      <w:r>
        <w:rPr>
          <w:rFonts w:ascii="Times New Roman" w:hAnsi="Times New Roman" w:eastAsia="宋体"/>
          <w:sz w:val="24"/>
          <w:szCs w:val="24"/>
          <w:highlight w:val="none"/>
          <w:lang w:eastAsia="zh-CN"/>
        </w:rPr>
        <w:t>投标函：指由</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填写并签署的，名为</w:t>
      </w:r>
      <w:r>
        <w:rPr>
          <w:rFonts w:ascii="Times New Roman" w:hAnsi="Times New Roman"/>
          <w:spacing w:val="-2"/>
          <w:sz w:val="24"/>
          <w:szCs w:val="24"/>
          <w:highlight w:val="none"/>
          <w:lang w:eastAsia="zh-CN"/>
        </w:rPr>
        <w:t>“</w:t>
      </w:r>
      <w:r>
        <w:rPr>
          <w:rFonts w:ascii="Times New Roman" w:hAnsi="Times New Roman" w:eastAsia="宋体"/>
          <w:spacing w:val="1"/>
          <w:sz w:val="24"/>
          <w:szCs w:val="24"/>
          <w:highlight w:val="none"/>
          <w:lang w:eastAsia="zh-CN"/>
        </w:rPr>
        <w:t>投标函</w:t>
      </w:r>
      <w:r>
        <w:rPr>
          <w:rFonts w:ascii="Times New Roman" w:hAnsi="Times New Roman"/>
          <w:spacing w:val="-2"/>
          <w:sz w:val="24"/>
          <w:szCs w:val="24"/>
          <w:highlight w:val="none"/>
          <w:lang w:eastAsia="zh-CN"/>
        </w:rPr>
        <w:t>”</w:t>
      </w:r>
      <w:r>
        <w:rPr>
          <w:rFonts w:ascii="Times New Roman" w:hAnsi="Times New Roman" w:eastAsia="宋体"/>
          <w:sz w:val="24"/>
          <w:szCs w:val="24"/>
          <w:highlight w:val="none"/>
          <w:lang w:eastAsia="zh-CN"/>
        </w:rPr>
        <w:t>的函件。</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1.1.1.5</w:t>
      </w:r>
      <w:r>
        <w:rPr>
          <w:rFonts w:ascii="Times New Roman" w:hAnsi="Times New Roman" w:eastAsia="宋体"/>
          <w:spacing w:val="-8"/>
          <w:sz w:val="24"/>
          <w:szCs w:val="24"/>
          <w:highlight w:val="none"/>
          <w:lang w:eastAsia="zh-CN"/>
        </w:rPr>
        <w:t>投标函附录：指由</w:t>
      </w:r>
      <w:r>
        <w:rPr>
          <w:rFonts w:hint="eastAsia" w:ascii="Times New Roman" w:hAnsi="Times New Roman" w:eastAsia="宋体"/>
          <w:spacing w:val="-8"/>
          <w:sz w:val="24"/>
          <w:szCs w:val="24"/>
          <w:highlight w:val="none"/>
          <w:lang w:eastAsia="zh-CN"/>
        </w:rPr>
        <w:t>服务人</w:t>
      </w:r>
      <w:r>
        <w:rPr>
          <w:rFonts w:ascii="Times New Roman" w:hAnsi="Times New Roman" w:eastAsia="宋体"/>
          <w:spacing w:val="-8"/>
          <w:sz w:val="24"/>
          <w:szCs w:val="24"/>
          <w:highlight w:val="none"/>
          <w:lang w:eastAsia="zh-CN"/>
        </w:rPr>
        <w:t>填写并签署的、附在投标函后，名为</w:t>
      </w:r>
      <w:r>
        <w:rPr>
          <w:rFonts w:ascii="Times New Roman" w:hAnsi="Times New Roman"/>
          <w:sz w:val="24"/>
          <w:szCs w:val="24"/>
          <w:highlight w:val="none"/>
          <w:lang w:eastAsia="zh-CN"/>
        </w:rPr>
        <w:t>“</w:t>
      </w:r>
      <w:r>
        <w:rPr>
          <w:rFonts w:ascii="Times New Roman" w:hAnsi="Times New Roman" w:eastAsia="宋体"/>
          <w:sz w:val="24"/>
          <w:szCs w:val="24"/>
          <w:highlight w:val="none"/>
          <w:lang w:eastAsia="zh-CN"/>
        </w:rPr>
        <w:t>投标函附录</w:t>
      </w:r>
      <w:r>
        <w:rPr>
          <w:rFonts w:ascii="Times New Roman" w:hAnsi="Times New Roman"/>
          <w:sz w:val="24"/>
          <w:szCs w:val="24"/>
          <w:highlight w:val="none"/>
          <w:lang w:eastAsia="zh-CN"/>
        </w:rPr>
        <w:t>”</w:t>
      </w:r>
      <w:r>
        <w:rPr>
          <w:rFonts w:ascii="Times New Roman" w:hAnsi="Times New Roman" w:eastAsia="宋体"/>
          <w:sz w:val="24"/>
          <w:szCs w:val="24"/>
          <w:highlight w:val="none"/>
          <w:lang w:eastAsia="zh-CN"/>
        </w:rPr>
        <w:t>的函件。</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1.1.1.6</w:t>
      </w:r>
      <w:r>
        <w:rPr>
          <w:rFonts w:ascii="Times New Roman" w:hAnsi="Times New Roman" w:eastAsia="宋体"/>
          <w:sz w:val="24"/>
          <w:szCs w:val="24"/>
          <w:highlight w:val="none"/>
          <w:lang w:eastAsia="zh-CN"/>
        </w:rPr>
        <w:t>委托人要求：指合同文件中名为</w:t>
      </w:r>
      <w:r>
        <w:rPr>
          <w:rFonts w:ascii="Times New Roman" w:hAnsi="Times New Roman"/>
          <w:spacing w:val="-2"/>
          <w:sz w:val="24"/>
          <w:szCs w:val="24"/>
          <w:highlight w:val="none"/>
          <w:lang w:eastAsia="zh-CN"/>
        </w:rPr>
        <w:t>“</w:t>
      </w:r>
      <w:r>
        <w:rPr>
          <w:rFonts w:ascii="Times New Roman" w:hAnsi="Times New Roman" w:eastAsia="宋体"/>
          <w:sz w:val="24"/>
          <w:szCs w:val="24"/>
          <w:highlight w:val="none"/>
          <w:lang w:eastAsia="zh-CN"/>
        </w:rPr>
        <w:t>委托人要求</w:t>
      </w:r>
      <w:r>
        <w:rPr>
          <w:rFonts w:ascii="Times New Roman" w:hAnsi="Times New Roman"/>
          <w:sz w:val="24"/>
          <w:szCs w:val="24"/>
          <w:highlight w:val="none"/>
          <w:lang w:eastAsia="zh-CN"/>
        </w:rPr>
        <w:t>”</w:t>
      </w:r>
      <w:r>
        <w:rPr>
          <w:rFonts w:ascii="Times New Roman" w:hAnsi="Times New Roman" w:eastAsia="宋体"/>
          <w:sz w:val="24"/>
          <w:szCs w:val="24"/>
          <w:highlight w:val="none"/>
          <w:lang w:eastAsia="zh-CN"/>
        </w:rPr>
        <w:t>的文件。</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1.1.1.7</w:t>
      </w:r>
      <w:r>
        <w:rPr>
          <w:rFonts w:ascii="Times New Roman" w:hAnsi="Times New Roman" w:eastAsia="宋体"/>
          <w:sz w:val="24"/>
          <w:szCs w:val="24"/>
          <w:highlight w:val="none"/>
          <w:lang w:eastAsia="zh-CN"/>
        </w:rPr>
        <w:t>服务方案：指</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在投标文件中的服务方案。</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1.1.1.8</w:t>
      </w:r>
      <w:r>
        <w:rPr>
          <w:rFonts w:ascii="Times New Roman" w:hAnsi="Times New Roman" w:eastAsia="宋体"/>
          <w:sz w:val="24"/>
          <w:szCs w:val="24"/>
          <w:highlight w:val="none"/>
          <w:lang w:eastAsia="zh-CN"/>
        </w:rPr>
        <w:t>服务费用清单：指</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投标文件中的服务费用清单。</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1.1.1.9</w:t>
      </w:r>
      <w:r>
        <w:rPr>
          <w:rFonts w:ascii="Times New Roman" w:hAnsi="Times New Roman" w:eastAsia="宋体"/>
          <w:sz w:val="24"/>
          <w:szCs w:val="24"/>
          <w:highlight w:val="none"/>
          <w:lang w:eastAsia="zh-CN"/>
        </w:rPr>
        <w:t>其他合同文件：指经合同双方当事人确认构成合同文件的其他文件。</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1.1.2</w:t>
      </w:r>
      <w:r>
        <w:rPr>
          <w:rFonts w:ascii="Times New Roman" w:hAnsi="Times New Roman" w:eastAsia="宋体"/>
          <w:spacing w:val="1"/>
          <w:sz w:val="24"/>
          <w:szCs w:val="24"/>
          <w:highlight w:val="none"/>
          <w:lang w:eastAsia="zh-CN"/>
        </w:rPr>
        <w:t>合同当事人和人员</w:t>
      </w:r>
    </w:p>
    <w:p>
      <w:pPr>
        <w:pStyle w:val="10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1.1.2.1</w:t>
      </w:r>
      <w:r>
        <w:rPr>
          <w:rFonts w:ascii="Times New Roman" w:hAnsi="Times New Roman" w:eastAsia="宋体"/>
          <w:sz w:val="24"/>
          <w:szCs w:val="24"/>
          <w:highlight w:val="none"/>
          <w:lang w:eastAsia="zh-CN"/>
        </w:rPr>
        <w:t>合同当事人：指委托人和（或）</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1.1.2.2</w:t>
      </w:r>
      <w:r>
        <w:rPr>
          <w:rFonts w:ascii="Times New Roman" w:hAnsi="Times New Roman" w:eastAsia="宋体"/>
          <w:sz w:val="24"/>
          <w:szCs w:val="24"/>
          <w:highlight w:val="none"/>
          <w:lang w:eastAsia="zh-CN"/>
        </w:rPr>
        <w:t>委托人：指与</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签订合同协议书的当事人，及其合法继承人。</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1.1.2.3</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：指与委托人签订合同协议书的当事人，及其合法继承人。</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1.1.2.4</w:t>
      </w:r>
      <w:r>
        <w:rPr>
          <w:rFonts w:ascii="Times New Roman" w:hAnsi="Times New Roman" w:eastAsia="宋体"/>
          <w:spacing w:val="-1"/>
          <w:sz w:val="24"/>
          <w:szCs w:val="24"/>
          <w:highlight w:val="none"/>
          <w:lang w:eastAsia="zh-CN"/>
        </w:rPr>
        <w:t>委托人代表：指由委托人任命，并在授权范围和期限内代表委托人行使权利和履行</w:t>
      </w:r>
      <w:r>
        <w:rPr>
          <w:rFonts w:ascii="Times New Roman" w:hAnsi="Times New Roman" w:eastAsia="宋体"/>
          <w:sz w:val="24"/>
          <w:szCs w:val="24"/>
          <w:highlight w:val="none"/>
          <w:lang w:eastAsia="zh-CN"/>
        </w:rPr>
        <w:t>义务的全权负责人。</w:t>
      </w:r>
    </w:p>
    <w:p>
      <w:pPr>
        <w:pStyle w:val="108"/>
        <w:spacing w:before="0" w:after="0" w:line="440" w:lineRule="atLeast"/>
        <w:ind w:firstLine="476"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 xml:space="preserve">1.1.2.5 </w:t>
      </w:r>
      <w:r>
        <w:rPr>
          <w:rFonts w:hint="eastAsia" w:ascii="Times New Roman" w:hAnsi="Times New Roman" w:eastAsia="宋体"/>
          <w:spacing w:val="-1"/>
          <w:sz w:val="24"/>
          <w:szCs w:val="24"/>
          <w:highlight w:val="none"/>
          <w:lang w:eastAsia="zh-CN"/>
        </w:rPr>
        <w:t>项目负责人：指由服务人任命，在服务人授权范围内代表服务人行使权利和履行义务且按照法律和招标文件规定具有相应资格的负责人。</w:t>
      </w:r>
    </w:p>
    <w:p>
      <w:pPr>
        <w:pStyle w:val="108"/>
        <w:spacing w:before="0" w:after="0" w:line="440" w:lineRule="atLeast"/>
        <w:ind w:firstLine="476"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1.1.2.6</w:t>
      </w:r>
      <w:r>
        <w:rPr>
          <w:rFonts w:hint="eastAsia" w:ascii="Times New Roman" w:hAnsi="Times New Roman" w:eastAsia="宋体"/>
          <w:spacing w:val="-1"/>
          <w:sz w:val="24"/>
          <w:szCs w:val="24"/>
          <w:highlight w:val="none"/>
          <w:lang w:eastAsia="zh-CN"/>
        </w:rPr>
        <w:t>分包人：指从服务人处分包合同中某一部分工作，并与其签订分包合同的且按照法律和招标文件规定具有相应资格的分包人。</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1.1.3</w:t>
      </w:r>
      <w:r>
        <w:rPr>
          <w:rFonts w:ascii="Times New Roman" w:hAnsi="Times New Roman" w:eastAsia="宋体"/>
          <w:spacing w:val="1"/>
          <w:sz w:val="24"/>
          <w:szCs w:val="24"/>
          <w:highlight w:val="none"/>
          <w:lang w:eastAsia="zh-CN"/>
        </w:rPr>
        <w:t>服务</w:t>
      </w:r>
    </w:p>
    <w:p>
      <w:pPr>
        <w:pStyle w:val="108"/>
        <w:spacing w:before="0" w:after="0" w:line="440" w:lineRule="atLeast"/>
        <w:ind w:firstLine="480" w:firstLineChars="200"/>
        <w:rPr>
          <w:rFonts w:ascii="Times New Roman" w:hAnsi="Times New Roman" w:eastAsia="宋体"/>
          <w:sz w:val="24"/>
          <w:szCs w:val="24"/>
          <w:highlight w:val="none"/>
          <w:lang w:eastAsia="zh-CN"/>
        </w:rPr>
      </w:pPr>
      <w:r>
        <w:rPr>
          <w:rFonts w:ascii="Times New Roman" w:hAnsi="Times New Roman"/>
          <w:sz w:val="24"/>
          <w:szCs w:val="24"/>
          <w:highlight w:val="none"/>
          <w:lang w:eastAsia="zh-CN"/>
        </w:rPr>
        <w:t>1.1.3.1</w:t>
      </w:r>
      <w:r>
        <w:rPr>
          <w:rFonts w:ascii="Times New Roman" w:hAnsi="Times New Roman" w:eastAsia="宋体"/>
          <w:spacing w:val="-1"/>
          <w:sz w:val="24"/>
          <w:szCs w:val="24"/>
          <w:highlight w:val="none"/>
          <w:lang w:eastAsia="zh-CN"/>
        </w:rPr>
        <w:t>服务项目：</w:t>
      </w:r>
      <w:r>
        <w:rPr>
          <w:rFonts w:ascii="Times New Roman" w:hAnsi="Times New Roman" w:eastAsia="宋体"/>
          <w:sz w:val="24"/>
          <w:szCs w:val="24"/>
          <w:highlight w:val="none"/>
          <w:lang w:eastAsia="zh-CN"/>
        </w:rPr>
        <w:t>指专用合同条款中指明进行</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招标的</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w:t>
      </w:r>
    </w:p>
    <w:p>
      <w:pPr>
        <w:pStyle w:val="108"/>
        <w:spacing w:before="0" w:after="0" w:line="440" w:lineRule="atLeast"/>
        <w:ind w:firstLine="480" w:firstLineChars="200"/>
        <w:rPr>
          <w:rFonts w:ascii="Times New Roman" w:hAnsi="Times New Roman" w:eastAsia="宋体"/>
          <w:sz w:val="24"/>
          <w:szCs w:val="24"/>
          <w:highlight w:val="none"/>
          <w:lang w:eastAsia="zh-CN"/>
        </w:rPr>
      </w:pPr>
      <w:r>
        <w:rPr>
          <w:rFonts w:ascii="Times New Roman" w:hAnsi="Times New Roman"/>
          <w:sz w:val="24"/>
          <w:szCs w:val="24"/>
          <w:highlight w:val="none"/>
          <w:lang w:eastAsia="zh-CN"/>
        </w:rPr>
        <w:t>1.1.3.</w:t>
      </w:r>
      <w:r>
        <w:rPr>
          <w:rFonts w:ascii="Times New Roman" w:hAnsi="Times New Roman" w:eastAsia="宋体"/>
          <w:sz w:val="24"/>
          <w:szCs w:val="24"/>
          <w:highlight w:val="none"/>
          <w:lang w:eastAsia="zh-CN"/>
        </w:rPr>
        <w:t>2</w:t>
      </w:r>
      <w:r>
        <w:rPr>
          <w:rFonts w:ascii="Times New Roman" w:hAnsi="Times New Roman" w:eastAsia="宋体"/>
          <w:spacing w:val="-1"/>
          <w:sz w:val="24"/>
          <w:szCs w:val="24"/>
          <w:highlight w:val="none"/>
          <w:lang w:eastAsia="zh-CN"/>
        </w:rPr>
        <w:t>服务：指</w:t>
      </w:r>
      <w:r>
        <w:rPr>
          <w:rFonts w:hint="eastAsia" w:ascii="Times New Roman" w:hAnsi="Times New Roman" w:eastAsia="宋体"/>
          <w:spacing w:val="-1"/>
          <w:sz w:val="24"/>
          <w:szCs w:val="24"/>
          <w:highlight w:val="none"/>
          <w:lang w:eastAsia="zh-CN"/>
        </w:rPr>
        <w:t>中标</w:t>
      </w:r>
      <w:r>
        <w:rPr>
          <w:rFonts w:ascii="Times New Roman" w:hAnsi="Times New Roman" w:eastAsia="宋体"/>
          <w:spacing w:val="-1"/>
          <w:sz w:val="24"/>
          <w:szCs w:val="24"/>
          <w:highlight w:val="none"/>
          <w:lang w:eastAsia="zh-CN"/>
        </w:rPr>
        <w:t>人按照合同约定履行合同义务，应完成的服务</w:t>
      </w:r>
      <w:r>
        <w:rPr>
          <w:rFonts w:ascii="Times New Roman" w:hAnsi="Times New Roman" w:eastAsia="宋体"/>
          <w:sz w:val="24"/>
          <w:szCs w:val="24"/>
          <w:highlight w:val="none"/>
          <w:lang w:eastAsia="zh-CN"/>
        </w:rPr>
        <w:t>。</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1.1.3.3</w:t>
      </w:r>
      <w:r>
        <w:rPr>
          <w:rFonts w:ascii="Times New Roman" w:hAnsi="Times New Roman" w:eastAsia="宋体"/>
          <w:spacing w:val="-1"/>
          <w:sz w:val="24"/>
          <w:szCs w:val="24"/>
          <w:highlight w:val="none"/>
          <w:lang w:eastAsia="zh-CN"/>
        </w:rPr>
        <w:t>委托人提供的资料：是委托人按合同约定向</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提供的，用于完成服务范围与内容所</w:t>
      </w:r>
      <w:r>
        <w:rPr>
          <w:rFonts w:ascii="Times New Roman" w:hAnsi="Times New Roman" w:eastAsia="宋体"/>
          <w:sz w:val="24"/>
          <w:szCs w:val="24"/>
          <w:highlight w:val="none"/>
          <w:lang w:eastAsia="zh-CN"/>
        </w:rPr>
        <w:t>需要的资料。</w:t>
      </w:r>
    </w:p>
    <w:p>
      <w:pPr>
        <w:pStyle w:val="108"/>
        <w:spacing w:before="0" w:after="0" w:line="440" w:lineRule="atLeast"/>
        <w:ind w:firstLine="476"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1.1.3.4</w:t>
      </w:r>
      <w:r>
        <w:rPr>
          <w:rFonts w:hint="eastAsia" w:ascii="Times New Roman" w:hAnsi="Times New Roman" w:eastAsia="宋体"/>
          <w:spacing w:val="-1"/>
          <w:sz w:val="24"/>
          <w:szCs w:val="24"/>
          <w:highlight w:val="none"/>
          <w:lang w:eastAsia="zh-CN"/>
        </w:rPr>
        <w:t>服务成果文件：指服务人按合同约定的格式和载体向委托人提交的体现服务过程和结果的文件，包括阶段性文件和最终文件。</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1.1.4</w:t>
      </w:r>
      <w:r>
        <w:rPr>
          <w:rFonts w:ascii="Times New Roman" w:hAnsi="Times New Roman" w:eastAsia="宋体"/>
          <w:spacing w:val="1"/>
          <w:sz w:val="24"/>
          <w:szCs w:val="24"/>
          <w:highlight w:val="none"/>
          <w:lang w:eastAsia="zh-CN"/>
        </w:rPr>
        <w:t>日期</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1.1.4.1</w:t>
      </w:r>
      <w:r>
        <w:rPr>
          <w:rFonts w:ascii="Times New Roman" w:hAnsi="Times New Roman" w:eastAsia="宋体"/>
          <w:sz w:val="24"/>
          <w:szCs w:val="24"/>
          <w:highlight w:val="none"/>
          <w:lang w:eastAsia="zh-CN"/>
        </w:rPr>
        <w:t>开始服务通知：指委托人按第</w:t>
      </w:r>
      <w:r>
        <w:rPr>
          <w:rFonts w:ascii="Times New Roman" w:hAnsi="Times New Roman"/>
          <w:sz w:val="24"/>
          <w:szCs w:val="24"/>
          <w:highlight w:val="none"/>
          <w:lang w:eastAsia="zh-CN"/>
        </w:rPr>
        <w:t>6.1</w:t>
      </w:r>
      <w:r>
        <w:rPr>
          <w:rFonts w:ascii="Times New Roman" w:hAnsi="Times New Roman" w:eastAsia="宋体"/>
          <w:sz w:val="24"/>
          <w:szCs w:val="24"/>
          <w:highlight w:val="none"/>
          <w:lang w:eastAsia="zh-CN"/>
        </w:rPr>
        <w:t>款通知</w:t>
      </w:r>
      <w:r>
        <w:rPr>
          <w:rFonts w:hint="eastAsia" w:ascii="Times New Roman" w:hAnsi="Times New Roman" w:eastAsia="宋体"/>
          <w:sz w:val="24"/>
          <w:szCs w:val="24"/>
          <w:highlight w:val="none"/>
          <w:lang w:eastAsia="zh-CN"/>
        </w:rPr>
        <w:t>中标</w:t>
      </w:r>
      <w:r>
        <w:rPr>
          <w:rFonts w:ascii="Times New Roman" w:hAnsi="Times New Roman" w:eastAsia="宋体"/>
          <w:sz w:val="24"/>
          <w:szCs w:val="24"/>
          <w:highlight w:val="none"/>
          <w:lang w:eastAsia="zh-CN"/>
        </w:rPr>
        <w:t>人开始服务日期的函件。</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1.1.4.2</w:t>
      </w:r>
      <w:r>
        <w:rPr>
          <w:rFonts w:ascii="Times New Roman" w:hAnsi="Times New Roman" w:eastAsia="宋体"/>
          <w:sz w:val="24"/>
          <w:szCs w:val="24"/>
          <w:highlight w:val="none"/>
          <w:lang w:eastAsia="zh-CN"/>
        </w:rPr>
        <w:t>开始服务日期：指委托人按第</w:t>
      </w:r>
      <w:r>
        <w:rPr>
          <w:rFonts w:ascii="Times New Roman" w:hAnsi="Times New Roman"/>
          <w:sz w:val="24"/>
          <w:szCs w:val="24"/>
          <w:highlight w:val="none"/>
          <w:lang w:eastAsia="zh-CN"/>
        </w:rPr>
        <w:t>6.1</w:t>
      </w:r>
      <w:r>
        <w:rPr>
          <w:rFonts w:ascii="Times New Roman" w:hAnsi="Times New Roman" w:eastAsia="宋体"/>
          <w:sz w:val="24"/>
          <w:szCs w:val="24"/>
          <w:highlight w:val="none"/>
          <w:lang w:eastAsia="zh-CN"/>
        </w:rPr>
        <w:t>款发出的开始服务通知中写明的开始服务日期。</w:t>
      </w:r>
    </w:p>
    <w:p>
      <w:pPr>
        <w:pStyle w:val="109"/>
        <w:spacing w:before="0" w:after="0" w:line="440" w:lineRule="atLeast"/>
        <w:ind w:firstLine="480" w:firstLineChars="200"/>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1.1.4.3</w:t>
      </w:r>
      <w:r>
        <w:rPr>
          <w:rFonts w:hint="eastAsia" w:ascii="Times New Roman" w:hAnsi="Times New Roman" w:eastAsia="宋体"/>
          <w:sz w:val="24"/>
          <w:szCs w:val="24"/>
          <w:highlight w:val="none"/>
          <w:lang w:eastAsia="zh-CN"/>
        </w:rPr>
        <w:t>服务期限：指服务人在合同协议书中约定的完成合同服务所需的期限，包括按</w:t>
      </w:r>
      <w:r>
        <w:rPr>
          <w:rFonts w:ascii="Times New Roman" w:hAnsi="Times New Roman" w:eastAsia="宋体"/>
          <w:sz w:val="24"/>
          <w:szCs w:val="24"/>
          <w:highlight w:val="none"/>
          <w:lang w:eastAsia="zh-CN"/>
        </w:rPr>
        <w:t>第6.2款、第6.4款和第6.6款约定所做的调整。</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1.1.4.4</w:t>
      </w:r>
      <w:r>
        <w:rPr>
          <w:rFonts w:ascii="Times New Roman" w:hAnsi="Times New Roman" w:eastAsia="宋体"/>
          <w:sz w:val="24"/>
          <w:szCs w:val="24"/>
          <w:highlight w:val="none"/>
          <w:lang w:eastAsia="zh-CN"/>
        </w:rPr>
        <w:t>完成服务日期：指第</w:t>
      </w:r>
      <w:r>
        <w:rPr>
          <w:rFonts w:ascii="Times New Roman" w:hAnsi="Times New Roman"/>
          <w:sz w:val="24"/>
          <w:szCs w:val="24"/>
          <w:highlight w:val="none"/>
          <w:lang w:eastAsia="zh-CN"/>
        </w:rPr>
        <w:t>1.1.4.3</w:t>
      </w:r>
      <w:r>
        <w:rPr>
          <w:rFonts w:ascii="Times New Roman" w:hAnsi="Times New Roman" w:eastAsia="宋体"/>
          <w:sz w:val="24"/>
          <w:szCs w:val="24"/>
          <w:highlight w:val="none"/>
          <w:lang w:eastAsia="zh-CN"/>
        </w:rPr>
        <w:t>目约定服务期限届满时的日期。</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1.1.4.5</w:t>
      </w:r>
      <w:r>
        <w:rPr>
          <w:rFonts w:ascii="Times New Roman" w:hAnsi="Times New Roman" w:eastAsia="宋体"/>
          <w:sz w:val="24"/>
          <w:szCs w:val="24"/>
          <w:highlight w:val="none"/>
          <w:lang w:eastAsia="zh-CN"/>
        </w:rPr>
        <w:t>基准日：指投标截止时间前</w:t>
      </w:r>
      <w:r>
        <w:rPr>
          <w:rFonts w:ascii="Times New Roman" w:hAnsi="Times New Roman"/>
          <w:spacing w:val="-2"/>
          <w:sz w:val="24"/>
          <w:szCs w:val="24"/>
          <w:highlight w:val="none"/>
          <w:lang w:eastAsia="zh-CN"/>
        </w:rPr>
        <w:t>28</w:t>
      </w:r>
      <w:r>
        <w:rPr>
          <w:rFonts w:ascii="Times New Roman" w:hAnsi="Times New Roman" w:eastAsia="宋体"/>
          <w:sz w:val="24"/>
          <w:szCs w:val="24"/>
          <w:highlight w:val="none"/>
          <w:lang w:eastAsia="zh-CN"/>
        </w:rPr>
        <w:t>天的日期。</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1.1.4.6</w:t>
      </w:r>
      <w:r>
        <w:rPr>
          <w:rFonts w:ascii="Times New Roman" w:hAnsi="Times New Roman" w:eastAsia="宋体"/>
          <w:spacing w:val="-1"/>
          <w:sz w:val="24"/>
          <w:szCs w:val="24"/>
          <w:highlight w:val="none"/>
          <w:lang w:eastAsia="zh-CN"/>
        </w:rPr>
        <w:t>天：除特别指明外，指日历天。合同中按天计算时间的，开始当天不计入，从次日</w:t>
      </w:r>
      <w:r>
        <w:rPr>
          <w:rFonts w:ascii="Times New Roman" w:hAnsi="Times New Roman" w:eastAsia="宋体"/>
          <w:sz w:val="24"/>
          <w:szCs w:val="24"/>
          <w:highlight w:val="none"/>
          <w:lang w:eastAsia="zh-CN"/>
        </w:rPr>
        <w:t>开始计算。期限最后一天的截止时间为当天</w:t>
      </w:r>
      <w:r>
        <w:rPr>
          <w:rFonts w:ascii="Times New Roman" w:hAnsi="Times New Roman"/>
          <w:sz w:val="24"/>
          <w:szCs w:val="24"/>
          <w:highlight w:val="none"/>
          <w:lang w:eastAsia="zh-CN"/>
        </w:rPr>
        <w:t>24:00</w:t>
      </w:r>
      <w:r>
        <w:rPr>
          <w:rFonts w:ascii="Times New Roman" w:hAnsi="Times New Roman" w:eastAsia="宋体"/>
          <w:sz w:val="24"/>
          <w:szCs w:val="24"/>
          <w:highlight w:val="none"/>
          <w:lang w:eastAsia="zh-CN"/>
        </w:rPr>
        <w:t>。</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1.1.5</w:t>
      </w:r>
      <w:r>
        <w:rPr>
          <w:rFonts w:ascii="Times New Roman" w:hAnsi="Times New Roman" w:eastAsia="宋体"/>
          <w:spacing w:val="1"/>
          <w:sz w:val="24"/>
          <w:szCs w:val="24"/>
          <w:highlight w:val="none"/>
          <w:lang w:eastAsia="zh-CN"/>
        </w:rPr>
        <w:t>合同价格和费用</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1.1.5.1</w:t>
      </w:r>
      <w:r>
        <w:rPr>
          <w:rFonts w:ascii="Times New Roman" w:hAnsi="Times New Roman" w:eastAsia="宋体"/>
          <w:sz w:val="24"/>
          <w:szCs w:val="24"/>
          <w:highlight w:val="none"/>
          <w:lang w:eastAsia="zh-CN"/>
        </w:rPr>
        <w:t>签约合同价：指签订合同时合同协议书中载明的服务费用总金额。</w:t>
      </w:r>
    </w:p>
    <w:p>
      <w:pPr>
        <w:pStyle w:val="109"/>
        <w:spacing w:before="0" w:after="0" w:line="440" w:lineRule="atLeast"/>
        <w:ind w:firstLine="476"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1.1.5.2合同价格：指</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按合同约定完成了全部服务工作后，委托人应付给</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的金</w:t>
      </w:r>
      <w:r>
        <w:rPr>
          <w:rFonts w:hint="eastAsia" w:ascii="Times New Roman" w:hAnsi="Times New Roman" w:eastAsia="宋体"/>
          <w:spacing w:val="-1"/>
          <w:sz w:val="24"/>
          <w:szCs w:val="24"/>
          <w:highlight w:val="none"/>
          <w:lang w:eastAsia="zh-CN"/>
        </w:rPr>
        <w:t>额，包括在履行合同过程中按合同约定发生的价格变化。</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1.1.5.3</w:t>
      </w:r>
      <w:r>
        <w:rPr>
          <w:rFonts w:ascii="Times New Roman" w:hAnsi="Times New Roman" w:eastAsia="宋体"/>
          <w:spacing w:val="-1"/>
          <w:sz w:val="24"/>
          <w:szCs w:val="24"/>
          <w:highlight w:val="none"/>
          <w:lang w:eastAsia="zh-CN"/>
        </w:rPr>
        <w:t>费用：指为履行合同所发生的或将要发生的所有必要开支，包括管理费和应分摊的</w:t>
      </w:r>
      <w:r>
        <w:rPr>
          <w:rFonts w:ascii="Times New Roman" w:hAnsi="Times New Roman" w:eastAsia="宋体"/>
          <w:sz w:val="24"/>
          <w:szCs w:val="24"/>
          <w:highlight w:val="none"/>
          <w:lang w:eastAsia="zh-CN"/>
        </w:rPr>
        <w:t>其他费用，但不包括利润。</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1.1.6</w:t>
      </w:r>
      <w:r>
        <w:rPr>
          <w:rFonts w:ascii="Times New Roman" w:hAnsi="Times New Roman" w:eastAsia="宋体"/>
          <w:spacing w:val="1"/>
          <w:sz w:val="24"/>
          <w:szCs w:val="24"/>
          <w:highlight w:val="none"/>
          <w:lang w:eastAsia="zh-CN"/>
        </w:rPr>
        <w:t>其他</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1.1.6.1</w:t>
      </w:r>
      <w:r>
        <w:rPr>
          <w:rFonts w:ascii="Times New Roman" w:hAnsi="Times New Roman" w:eastAsia="宋体"/>
          <w:spacing w:val="-1"/>
          <w:sz w:val="24"/>
          <w:szCs w:val="24"/>
          <w:highlight w:val="none"/>
          <w:lang w:eastAsia="zh-CN"/>
        </w:rPr>
        <w:t>书面形式：指合同文件、信件和数据电文（包括电报、电传、传真、电子数据交换</w:t>
      </w:r>
      <w:r>
        <w:rPr>
          <w:rFonts w:ascii="Times New Roman" w:hAnsi="Times New Roman" w:eastAsia="宋体"/>
          <w:sz w:val="24"/>
          <w:szCs w:val="24"/>
          <w:highlight w:val="none"/>
          <w:lang w:eastAsia="zh-CN"/>
        </w:rPr>
        <w:t>和电子邮件）等可以有形地表现所载内容的形式。</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45" w:name="_Toc508201279"/>
      <w:bookmarkStart w:id="246" w:name="_Toc8145"/>
      <w:bookmarkStart w:id="247" w:name="_Toc5744"/>
      <w:bookmarkStart w:id="248" w:name="_Toc508200342"/>
      <w:bookmarkStart w:id="249" w:name="_Toc506006061"/>
      <w:r>
        <w:rPr>
          <w:rFonts w:ascii="Times New Roman" w:hAnsi="Times New Roman" w:eastAsia="黑体"/>
          <w:sz w:val="28"/>
          <w:szCs w:val="21"/>
          <w:highlight w:val="none"/>
          <w:lang w:eastAsia="zh-CN"/>
        </w:rPr>
        <w:t>1.2 语言文字</w:t>
      </w:r>
      <w:bookmarkEnd w:id="245"/>
      <w:bookmarkEnd w:id="246"/>
      <w:bookmarkEnd w:id="247"/>
      <w:bookmarkEnd w:id="248"/>
      <w:bookmarkEnd w:id="249"/>
    </w:p>
    <w:p>
      <w:pPr>
        <w:pStyle w:val="109"/>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合同使用的语言文字为简体中文。专用术语使用外文的，应附有简体中文注释，汉语为优先解释和说明合同的语言。</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50" w:name="_Toc508201280"/>
      <w:bookmarkStart w:id="251" w:name="_Toc506006062"/>
      <w:bookmarkStart w:id="252" w:name="_Toc30252"/>
      <w:bookmarkStart w:id="253" w:name="_Toc1603"/>
      <w:bookmarkStart w:id="254" w:name="_Toc508200343"/>
      <w:r>
        <w:rPr>
          <w:rFonts w:ascii="Times New Roman" w:hAnsi="Times New Roman" w:eastAsia="黑体"/>
          <w:sz w:val="28"/>
          <w:szCs w:val="21"/>
          <w:highlight w:val="none"/>
          <w:lang w:eastAsia="zh-CN"/>
        </w:rPr>
        <w:t>1.3 适用法律</w:t>
      </w:r>
      <w:bookmarkEnd w:id="250"/>
      <w:bookmarkEnd w:id="251"/>
      <w:bookmarkEnd w:id="252"/>
      <w:bookmarkEnd w:id="253"/>
      <w:bookmarkEnd w:id="254"/>
    </w:p>
    <w:p>
      <w:pPr>
        <w:pStyle w:val="109"/>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适用于合同的法律包括中华人民共和国法律、行政法规、部门规章，以及工程所在地的地</w:t>
      </w:r>
      <w:r>
        <w:rPr>
          <w:rFonts w:ascii="Times New Roman" w:hAnsi="Times New Roman" w:eastAsia="宋体"/>
          <w:sz w:val="24"/>
          <w:szCs w:val="24"/>
          <w:highlight w:val="none"/>
          <w:lang w:eastAsia="zh-CN"/>
        </w:rPr>
        <w:t>方性法规、自治条例、单行条例和地方政府规章。</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eastAsia="宋体"/>
          <w:sz w:val="24"/>
          <w:szCs w:val="24"/>
          <w:highlight w:val="none"/>
          <w:lang w:eastAsia="zh-CN"/>
        </w:rPr>
        <w:t>本合同适用的其他规范性文件，可在专用合同条款中约定。</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55" w:name="_Toc506006063"/>
      <w:bookmarkStart w:id="256" w:name="_Toc29329"/>
      <w:bookmarkStart w:id="257" w:name="_Toc508201281"/>
      <w:bookmarkStart w:id="258" w:name="_Toc508200344"/>
      <w:bookmarkStart w:id="259" w:name="_Toc4313"/>
      <w:r>
        <w:rPr>
          <w:rFonts w:ascii="Times New Roman" w:hAnsi="Times New Roman" w:eastAsia="黑体"/>
          <w:sz w:val="28"/>
          <w:szCs w:val="21"/>
          <w:highlight w:val="none"/>
          <w:lang w:eastAsia="zh-CN"/>
        </w:rPr>
        <w:t>1.4合同文件的优先顺序</w:t>
      </w:r>
      <w:bookmarkEnd w:id="255"/>
      <w:bookmarkEnd w:id="256"/>
      <w:bookmarkEnd w:id="257"/>
      <w:bookmarkEnd w:id="258"/>
      <w:bookmarkEnd w:id="259"/>
    </w:p>
    <w:p>
      <w:pPr>
        <w:pStyle w:val="110"/>
        <w:spacing w:before="0" w:after="0" w:line="440" w:lineRule="atLeast"/>
        <w:ind w:firstLine="480" w:firstLineChars="200"/>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组成合同的各项文件应互相解释，互为说明。除专用合同条款另有约定外，解释合同文件的优先顺序如下：</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）合同协议书；</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）中标通知书；</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3</w:t>
      </w:r>
      <w:r>
        <w:rPr>
          <w:rFonts w:ascii="Times New Roman" w:hAnsi="Times New Roman" w:eastAsia="宋体"/>
          <w:sz w:val="24"/>
          <w:szCs w:val="24"/>
          <w:highlight w:val="none"/>
          <w:lang w:eastAsia="zh-CN"/>
        </w:rPr>
        <w:t>）投标函及投标函附录；</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4</w:t>
      </w:r>
      <w:r>
        <w:rPr>
          <w:rFonts w:ascii="Times New Roman" w:hAnsi="Times New Roman" w:eastAsia="宋体"/>
          <w:sz w:val="24"/>
          <w:szCs w:val="24"/>
          <w:highlight w:val="none"/>
          <w:lang w:eastAsia="zh-CN"/>
        </w:rPr>
        <w:t>）专用合同条款；</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5</w:t>
      </w:r>
      <w:r>
        <w:rPr>
          <w:rFonts w:ascii="Times New Roman" w:hAnsi="Times New Roman" w:eastAsia="宋体"/>
          <w:sz w:val="24"/>
          <w:szCs w:val="24"/>
          <w:highlight w:val="none"/>
          <w:lang w:eastAsia="zh-CN"/>
        </w:rPr>
        <w:t>）通用合同条款；</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6</w:t>
      </w:r>
      <w:r>
        <w:rPr>
          <w:rFonts w:ascii="Times New Roman" w:hAnsi="Times New Roman" w:eastAsia="宋体"/>
          <w:sz w:val="24"/>
          <w:szCs w:val="24"/>
          <w:highlight w:val="none"/>
          <w:lang w:eastAsia="zh-CN"/>
        </w:rPr>
        <w:t>）委托人要求；</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7</w:t>
      </w:r>
      <w:r>
        <w:rPr>
          <w:rFonts w:ascii="Times New Roman" w:hAnsi="Times New Roman" w:eastAsia="宋体"/>
          <w:sz w:val="24"/>
          <w:szCs w:val="24"/>
          <w:highlight w:val="none"/>
          <w:lang w:eastAsia="zh-CN"/>
        </w:rPr>
        <w:t>）服务费用清单；</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8</w:t>
      </w:r>
      <w:r>
        <w:rPr>
          <w:rFonts w:ascii="Times New Roman" w:hAnsi="Times New Roman" w:eastAsia="宋体"/>
          <w:sz w:val="24"/>
          <w:szCs w:val="24"/>
          <w:highlight w:val="none"/>
          <w:lang w:eastAsia="zh-CN"/>
        </w:rPr>
        <w:t>）服务方案；</w:t>
      </w:r>
    </w:p>
    <w:p>
      <w:pPr>
        <w:pStyle w:val="109"/>
        <w:spacing w:before="0" w:after="0" w:line="440" w:lineRule="atLeast"/>
        <w:ind w:left="42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9</w:t>
      </w:r>
      <w:r>
        <w:rPr>
          <w:rFonts w:ascii="Times New Roman" w:hAnsi="Times New Roman" w:eastAsia="宋体"/>
          <w:sz w:val="24"/>
          <w:szCs w:val="24"/>
          <w:highlight w:val="none"/>
          <w:lang w:eastAsia="zh-CN"/>
        </w:rPr>
        <w:t>）其他合同文件。</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60" w:name="_Toc508200345"/>
      <w:bookmarkStart w:id="261" w:name="_Toc506006064"/>
      <w:bookmarkStart w:id="262" w:name="_Toc508201282"/>
      <w:bookmarkStart w:id="263" w:name="_Toc2757"/>
      <w:bookmarkStart w:id="264" w:name="_Toc19077"/>
      <w:r>
        <w:rPr>
          <w:rFonts w:ascii="Times New Roman" w:hAnsi="Times New Roman" w:eastAsia="黑体"/>
          <w:sz w:val="28"/>
          <w:szCs w:val="21"/>
          <w:highlight w:val="none"/>
          <w:lang w:eastAsia="zh-CN"/>
        </w:rPr>
        <w:t>1.5合同协议书</w:t>
      </w:r>
      <w:bookmarkEnd w:id="260"/>
      <w:bookmarkEnd w:id="261"/>
      <w:bookmarkEnd w:id="262"/>
      <w:bookmarkEnd w:id="263"/>
      <w:bookmarkEnd w:id="264"/>
    </w:p>
    <w:p>
      <w:pPr>
        <w:pStyle w:val="111"/>
        <w:spacing w:before="0" w:after="0" w:line="440" w:lineRule="atLeast"/>
        <w:ind w:firstLine="484" w:firstLineChars="200"/>
        <w:rPr>
          <w:rFonts w:ascii="Times New Roman" w:hAnsi="Times New Roman" w:eastAsia="宋体"/>
          <w:spacing w:val="1"/>
          <w:sz w:val="24"/>
          <w:szCs w:val="24"/>
          <w:highlight w:val="none"/>
          <w:lang w:eastAsia="zh-CN"/>
        </w:rPr>
      </w:pPr>
      <w:r>
        <w:rPr>
          <w:rFonts w:hint="eastAsia" w:ascii="Times New Roman" w:hAnsi="Times New Roman" w:eastAsia="宋体"/>
          <w:spacing w:val="1"/>
          <w:sz w:val="24"/>
          <w:szCs w:val="24"/>
          <w:highlight w:val="none"/>
          <w:lang w:eastAsia="zh-CN"/>
        </w:rPr>
        <w:t>中标人按中标通知书规定的时间与委托人签订合同协议书。除法律另有规定或合同另有约定外，自委托人和中标人的法定代表人或其委托代理人在合同协议书上签字并加盖单位章之日起，合同生效。</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65" w:name="_Toc508201283"/>
      <w:bookmarkStart w:id="266" w:name="_Toc508200346"/>
      <w:bookmarkStart w:id="267" w:name="_Toc14709"/>
      <w:bookmarkStart w:id="268" w:name="_Toc506006065"/>
      <w:bookmarkStart w:id="269" w:name="_Toc6054"/>
      <w:r>
        <w:rPr>
          <w:rFonts w:ascii="Times New Roman" w:hAnsi="Times New Roman" w:eastAsia="黑体"/>
          <w:sz w:val="28"/>
          <w:szCs w:val="21"/>
          <w:highlight w:val="none"/>
          <w:lang w:eastAsia="zh-CN"/>
        </w:rPr>
        <w:t>1.6 文件的提供</w:t>
      </w:r>
      <w:bookmarkEnd w:id="265"/>
      <w:bookmarkEnd w:id="266"/>
      <w:bookmarkEnd w:id="267"/>
      <w:bookmarkEnd w:id="268"/>
      <w:bookmarkEnd w:id="269"/>
    </w:p>
    <w:p>
      <w:pPr>
        <w:pStyle w:val="111"/>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1.6.1</w:t>
      </w:r>
      <w:r>
        <w:rPr>
          <w:rFonts w:ascii="Times New Roman" w:hAnsi="Times New Roman" w:eastAsia="宋体"/>
          <w:spacing w:val="1"/>
          <w:sz w:val="24"/>
          <w:szCs w:val="24"/>
          <w:highlight w:val="none"/>
          <w:lang w:eastAsia="zh-CN"/>
        </w:rPr>
        <w:t>服务成果文件的提供</w:t>
      </w:r>
    </w:p>
    <w:p>
      <w:pPr>
        <w:pStyle w:val="111"/>
        <w:spacing w:before="0" w:after="0" w:line="440" w:lineRule="atLeast"/>
        <w:ind w:firstLine="484" w:firstLineChars="200"/>
        <w:rPr>
          <w:rFonts w:ascii="Times New Roman" w:hAnsi="Times New Roman" w:eastAsia="宋体"/>
          <w:spacing w:val="1"/>
          <w:sz w:val="24"/>
          <w:szCs w:val="24"/>
          <w:highlight w:val="none"/>
          <w:lang w:eastAsia="zh-CN"/>
        </w:rPr>
      </w:pPr>
      <w:r>
        <w:rPr>
          <w:rFonts w:hint="eastAsia" w:ascii="Times New Roman" w:hAnsi="Times New Roman" w:eastAsia="宋体"/>
          <w:spacing w:val="1"/>
          <w:sz w:val="24"/>
          <w:szCs w:val="24"/>
          <w:highlight w:val="none"/>
          <w:lang w:eastAsia="zh-CN"/>
        </w:rPr>
        <w:t>服务人应在合同约定的期限内按照合同约定的数量向委托人提供服务成果文件。</w:t>
      </w:r>
      <w:r>
        <w:rPr>
          <w:rFonts w:ascii="Times New Roman" w:hAnsi="Times New Roman" w:eastAsia="宋体"/>
          <w:spacing w:val="1"/>
          <w:sz w:val="24"/>
          <w:szCs w:val="24"/>
          <w:highlight w:val="none"/>
          <w:lang w:eastAsia="zh-CN"/>
        </w:rPr>
        <w:t>合同约定服务成果文件应经委托人批复的，委托人应当在合同约定的期限内批复或提出修改意见。</w:t>
      </w:r>
    </w:p>
    <w:p>
      <w:pPr>
        <w:pStyle w:val="111"/>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1.6.2</w:t>
      </w:r>
      <w:r>
        <w:rPr>
          <w:rFonts w:ascii="Times New Roman" w:hAnsi="Times New Roman" w:eastAsia="宋体"/>
          <w:spacing w:val="1"/>
          <w:sz w:val="24"/>
          <w:szCs w:val="24"/>
          <w:highlight w:val="none"/>
          <w:lang w:eastAsia="zh-CN"/>
        </w:rPr>
        <w:t>委托人提供的文件</w:t>
      </w:r>
    </w:p>
    <w:p>
      <w:pPr>
        <w:pStyle w:val="111"/>
        <w:spacing w:before="0" w:after="0" w:line="440" w:lineRule="atLeast"/>
        <w:ind w:firstLine="484"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按专用合同条款约定由委托人提供的文件，包括基础资料、服务任务书等，委托人</w:t>
      </w:r>
      <w:r>
        <w:rPr>
          <w:rFonts w:hint="eastAsia" w:ascii="Times New Roman" w:hAnsi="Times New Roman" w:eastAsia="宋体"/>
          <w:spacing w:val="1"/>
          <w:sz w:val="24"/>
          <w:szCs w:val="24"/>
          <w:highlight w:val="none"/>
          <w:lang w:eastAsia="zh-CN"/>
        </w:rPr>
        <w:t>应按约定的期限和数量交给服务人。由于委托人未按时提供文件造成服务期限延误的，</w:t>
      </w:r>
      <w:r>
        <w:rPr>
          <w:rFonts w:ascii="Times New Roman" w:hAnsi="Times New Roman" w:eastAsia="宋体"/>
          <w:spacing w:val="1"/>
          <w:sz w:val="24"/>
          <w:szCs w:val="24"/>
          <w:highlight w:val="none"/>
          <w:lang w:eastAsia="zh-CN"/>
        </w:rPr>
        <w:t>按第6.2</w:t>
      </w:r>
      <w:r>
        <w:rPr>
          <w:rFonts w:hint="eastAsia" w:ascii="Times New Roman" w:hAnsi="Times New Roman" w:eastAsia="宋体"/>
          <w:spacing w:val="1"/>
          <w:sz w:val="24"/>
          <w:szCs w:val="24"/>
          <w:highlight w:val="none"/>
          <w:lang w:eastAsia="zh-CN"/>
        </w:rPr>
        <w:t>款约定执行。</w:t>
      </w:r>
    </w:p>
    <w:p>
      <w:pPr>
        <w:pStyle w:val="111"/>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1.6.3</w:t>
      </w:r>
      <w:r>
        <w:rPr>
          <w:rFonts w:ascii="Times New Roman" w:hAnsi="Times New Roman" w:eastAsia="宋体"/>
          <w:spacing w:val="1"/>
          <w:sz w:val="24"/>
          <w:szCs w:val="24"/>
          <w:highlight w:val="none"/>
          <w:lang w:eastAsia="zh-CN"/>
        </w:rPr>
        <w:t>文件错误的通知</w:t>
      </w:r>
    </w:p>
    <w:p>
      <w:pPr>
        <w:pStyle w:val="11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任何一方当事人发现文件中存在的明显错误或疏忽，均应及时书面通知对方当事人，并应立即</w:t>
      </w:r>
      <w:r>
        <w:rPr>
          <w:rFonts w:ascii="Times New Roman" w:hAnsi="Times New Roman" w:eastAsia="宋体"/>
          <w:sz w:val="24"/>
          <w:szCs w:val="24"/>
          <w:highlight w:val="none"/>
          <w:lang w:eastAsia="zh-CN"/>
        </w:rPr>
        <w:t>采取适当的措施防止损失扩大。</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70" w:name="_Toc10543"/>
      <w:bookmarkStart w:id="271" w:name="_Toc508200347"/>
      <w:bookmarkStart w:id="272" w:name="_Toc506006066"/>
      <w:bookmarkStart w:id="273" w:name="_Toc508201284"/>
      <w:bookmarkStart w:id="274" w:name="_Toc28297"/>
      <w:r>
        <w:rPr>
          <w:rFonts w:ascii="Times New Roman" w:hAnsi="Times New Roman" w:eastAsia="黑体"/>
          <w:sz w:val="28"/>
          <w:szCs w:val="21"/>
          <w:highlight w:val="none"/>
          <w:lang w:eastAsia="zh-CN"/>
        </w:rPr>
        <w:t>1.7 联络</w:t>
      </w:r>
      <w:bookmarkEnd w:id="270"/>
      <w:bookmarkEnd w:id="271"/>
      <w:bookmarkEnd w:id="272"/>
      <w:bookmarkEnd w:id="273"/>
      <w:bookmarkEnd w:id="274"/>
    </w:p>
    <w:p>
      <w:pPr>
        <w:pStyle w:val="11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1.7.1</w:t>
      </w:r>
      <w:r>
        <w:rPr>
          <w:rFonts w:ascii="Times New Roman" w:hAnsi="Times New Roman" w:eastAsia="宋体"/>
          <w:spacing w:val="-2"/>
          <w:sz w:val="24"/>
          <w:szCs w:val="24"/>
          <w:highlight w:val="none"/>
          <w:lang w:eastAsia="zh-CN"/>
        </w:rPr>
        <w:t>与合同有关的通知、批准、证明、证书、指示、要求、请求、同意、意见、确定和决</w:t>
      </w:r>
      <w:r>
        <w:rPr>
          <w:rFonts w:ascii="Times New Roman" w:hAnsi="Times New Roman" w:eastAsia="宋体"/>
          <w:sz w:val="24"/>
          <w:szCs w:val="24"/>
          <w:highlight w:val="none"/>
          <w:lang w:eastAsia="zh-CN"/>
        </w:rPr>
        <w:t>定等，均应采用书面形式。</w:t>
      </w:r>
    </w:p>
    <w:p>
      <w:pPr>
        <w:pStyle w:val="11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1.7.2</w:t>
      </w:r>
      <w:r>
        <w:rPr>
          <w:rFonts w:ascii="Times New Roman" w:hAnsi="Times New Roman" w:eastAsia="宋体"/>
          <w:spacing w:val="-2"/>
          <w:sz w:val="24"/>
          <w:szCs w:val="24"/>
          <w:highlight w:val="none"/>
          <w:lang w:eastAsia="zh-CN"/>
        </w:rPr>
        <w:t>上述通知、批准、证明、证书、指示、要求、请求、同意、意见、确定和决定等来往</w:t>
      </w:r>
      <w:r>
        <w:rPr>
          <w:rFonts w:ascii="Times New Roman" w:hAnsi="Times New Roman" w:eastAsia="宋体"/>
          <w:sz w:val="24"/>
          <w:szCs w:val="24"/>
          <w:highlight w:val="none"/>
          <w:lang w:eastAsia="zh-CN"/>
        </w:rPr>
        <w:t>函件，均应在合同约定的期限内送达指定的地点和指定的接收人，并办理签收手续。</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75" w:name="_Toc26879"/>
      <w:bookmarkStart w:id="276" w:name="_Toc508200348"/>
      <w:bookmarkStart w:id="277" w:name="_Toc403"/>
      <w:bookmarkStart w:id="278" w:name="_Toc508201285"/>
      <w:bookmarkStart w:id="279" w:name="_Toc506006067"/>
      <w:r>
        <w:rPr>
          <w:rFonts w:ascii="Times New Roman" w:hAnsi="Times New Roman" w:eastAsia="黑体"/>
          <w:sz w:val="28"/>
          <w:szCs w:val="21"/>
          <w:highlight w:val="none"/>
          <w:lang w:eastAsia="zh-CN"/>
        </w:rPr>
        <w:t>1.8 转让</w:t>
      </w:r>
      <w:bookmarkEnd w:id="275"/>
      <w:bookmarkEnd w:id="276"/>
      <w:bookmarkEnd w:id="277"/>
      <w:bookmarkEnd w:id="278"/>
      <w:bookmarkEnd w:id="279"/>
    </w:p>
    <w:p>
      <w:pPr>
        <w:pStyle w:val="112"/>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除专用合同条款另有约定外，未经对方当事人同意，一方当事人不得将合同权利全部或部</w:t>
      </w:r>
      <w:r>
        <w:rPr>
          <w:rFonts w:ascii="Times New Roman" w:hAnsi="Times New Roman" w:eastAsia="宋体"/>
          <w:sz w:val="24"/>
          <w:szCs w:val="24"/>
          <w:highlight w:val="none"/>
          <w:lang w:eastAsia="zh-CN"/>
        </w:rPr>
        <w:t>分转让给第三人，也不得全部或部分转移合同义务。</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80" w:name="_Toc506006068"/>
      <w:bookmarkStart w:id="281" w:name="_Toc28895"/>
      <w:bookmarkStart w:id="282" w:name="_Toc3695"/>
      <w:bookmarkStart w:id="283" w:name="_Toc508200349"/>
      <w:bookmarkStart w:id="284" w:name="_Toc508201286"/>
      <w:r>
        <w:rPr>
          <w:rFonts w:ascii="Times New Roman" w:hAnsi="Times New Roman" w:eastAsia="黑体"/>
          <w:sz w:val="28"/>
          <w:szCs w:val="21"/>
          <w:highlight w:val="none"/>
          <w:lang w:eastAsia="zh-CN"/>
        </w:rPr>
        <w:t>1.9 严禁贿赂</w:t>
      </w:r>
      <w:bookmarkEnd w:id="280"/>
      <w:bookmarkEnd w:id="281"/>
      <w:bookmarkEnd w:id="282"/>
      <w:bookmarkEnd w:id="283"/>
      <w:bookmarkEnd w:id="284"/>
    </w:p>
    <w:p>
      <w:pPr>
        <w:pStyle w:val="112"/>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合同双方当事人不得以贿赂或变相贿赂的方式，谋取不当利益或损害对方权益。因贿赂造</w:t>
      </w:r>
      <w:r>
        <w:rPr>
          <w:rFonts w:ascii="Times New Roman" w:hAnsi="Times New Roman" w:eastAsia="宋体"/>
          <w:sz w:val="24"/>
          <w:szCs w:val="24"/>
          <w:highlight w:val="none"/>
          <w:lang w:eastAsia="zh-CN"/>
        </w:rPr>
        <w:t>成对方当事人损失的，行为人应当赔偿损失，并承担相应的法律责任。</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85" w:name="_Toc508200350"/>
      <w:bookmarkStart w:id="286" w:name="_Toc506006069"/>
      <w:bookmarkStart w:id="287" w:name="_Toc11263"/>
      <w:bookmarkStart w:id="288" w:name="_Toc26900"/>
      <w:bookmarkStart w:id="289" w:name="_Toc508201287"/>
      <w:r>
        <w:rPr>
          <w:rFonts w:ascii="Times New Roman" w:hAnsi="Times New Roman" w:eastAsia="黑体"/>
          <w:sz w:val="28"/>
          <w:szCs w:val="21"/>
          <w:highlight w:val="none"/>
          <w:lang w:eastAsia="zh-CN"/>
        </w:rPr>
        <w:t>1.10 知识产权</w:t>
      </w:r>
      <w:bookmarkEnd w:id="285"/>
      <w:bookmarkEnd w:id="286"/>
      <w:bookmarkEnd w:id="287"/>
      <w:bookmarkEnd w:id="288"/>
      <w:bookmarkEnd w:id="289"/>
    </w:p>
    <w:p>
      <w:pPr>
        <w:pStyle w:val="11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1.10.1</w:t>
      </w:r>
      <w:r>
        <w:rPr>
          <w:rFonts w:ascii="Times New Roman" w:hAnsi="Times New Roman" w:eastAsia="宋体"/>
          <w:spacing w:val="1"/>
          <w:sz w:val="24"/>
          <w:szCs w:val="24"/>
          <w:highlight w:val="none"/>
          <w:lang w:eastAsia="zh-CN"/>
        </w:rPr>
        <w:t>除专用合同条款另有约定外，</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完成的服务工作成果，除署名权以外的著作权</w:t>
      </w:r>
      <w:r>
        <w:rPr>
          <w:rFonts w:ascii="Times New Roman" w:hAnsi="Times New Roman" w:eastAsia="宋体"/>
          <w:sz w:val="24"/>
          <w:szCs w:val="24"/>
          <w:highlight w:val="none"/>
          <w:lang w:eastAsia="zh-CN"/>
        </w:rPr>
        <w:t>和其他知识产权均归委托人享有。</w:t>
      </w:r>
    </w:p>
    <w:p>
      <w:pPr>
        <w:pStyle w:val="11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1.10.2</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在从事服务活动时，不得侵犯他人的知识产权。因侵犯专利权或其他知识产权所引起的责任，由</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自行承担。因委托人提供的服务资料导致侵权的，由委托人承担责任。</w:t>
      </w:r>
    </w:p>
    <w:p>
      <w:pPr>
        <w:pStyle w:val="11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1.10.3</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在投标文件中采用专利技术、专有技术的，相应的使用费视为已包含在投标报价之中。</w:t>
      </w:r>
    </w:p>
    <w:p>
      <w:pPr>
        <w:pStyle w:val="107"/>
        <w:spacing w:before="260" w:after="260" w:line="440" w:lineRule="atLeast"/>
        <w:ind w:firstLine="117" w:firstLineChars="49"/>
        <w:rPr>
          <w:rFonts w:ascii="Times New Roman" w:hAnsi="Times New Roman" w:eastAsia="黑体"/>
          <w:sz w:val="24"/>
          <w:szCs w:val="24"/>
          <w:highlight w:val="none"/>
          <w:lang w:eastAsia="zh-CN"/>
        </w:rPr>
      </w:pPr>
      <w:bookmarkStart w:id="290" w:name="_Toc508201288"/>
      <w:bookmarkStart w:id="291" w:name="_Toc508200351"/>
      <w:bookmarkStart w:id="292" w:name="_Toc506006070"/>
      <w:bookmarkStart w:id="293" w:name="_Toc18505"/>
      <w:bookmarkStart w:id="294" w:name="_Toc7157"/>
      <w:r>
        <w:rPr>
          <w:rFonts w:ascii="Times New Roman" w:hAnsi="Times New Roman" w:eastAsia="黑体"/>
          <w:sz w:val="24"/>
          <w:szCs w:val="24"/>
          <w:highlight w:val="none"/>
          <w:lang w:eastAsia="zh-CN"/>
        </w:rPr>
        <w:t>1.11 文件及信息的保密</w:t>
      </w:r>
      <w:bookmarkEnd w:id="290"/>
      <w:bookmarkEnd w:id="291"/>
      <w:bookmarkEnd w:id="292"/>
      <w:bookmarkEnd w:id="293"/>
      <w:bookmarkEnd w:id="294"/>
    </w:p>
    <w:p>
      <w:pPr>
        <w:pStyle w:val="112"/>
        <w:spacing w:before="0" w:after="0" w:line="440" w:lineRule="atLeast"/>
        <w:ind w:firstLine="480" w:firstLineChars="200"/>
        <w:rPr>
          <w:rFonts w:ascii="Times New Roman" w:hAnsi="Times New Roman" w:eastAsia="宋体"/>
          <w:spacing w:val="1"/>
          <w:sz w:val="24"/>
          <w:szCs w:val="24"/>
          <w:highlight w:val="none"/>
          <w:lang w:eastAsia="zh-CN"/>
        </w:rPr>
      </w:pPr>
      <w:r>
        <w:rPr>
          <w:rFonts w:hint="eastAsia" w:ascii="Times New Roman" w:hAnsi="Times New Roman" w:eastAsia="宋体"/>
          <w:sz w:val="24"/>
          <w:szCs w:val="24"/>
          <w:highlight w:val="none"/>
          <w:lang w:eastAsia="zh-CN"/>
        </w:rPr>
        <w:t>除法律规定或合同另有约定外，未经对方同意，任何一方当事人不得将对方提供的有关文件、技术秘密、声明需要保密的资料和信息泄露给第三方或公开发表与引用。</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295" w:name="_Toc4192"/>
      <w:bookmarkStart w:id="296" w:name="_Toc506006071"/>
      <w:bookmarkStart w:id="297" w:name="_Toc4049"/>
      <w:bookmarkStart w:id="298" w:name="_Toc508200352"/>
      <w:bookmarkStart w:id="299" w:name="_Toc508201289"/>
      <w:r>
        <w:rPr>
          <w:rFonts w:ascii="Times New Roman" w:hAnsi="Times New Roman" w:eastAsia="黑体"/>
          <w:sz w:val="28"/>
          <w:szCs w:val="21"/>
          <w:highlight w:val="none"/>
          <w:lang w:eastAsia="zh-CN"/>
        </w:rPr>
        <w:t>1.12 委托人要求</w:t>
      </w:r>
      <w:bookmarkEnd w:id="295"/>
      <w:bookmarkEnd w:id="296"/>
      <w:bookmarkEnd w:id="297"/>
      <w:bookmarkEnd w:id="298"/>
      <w:bookmarkEnd w:id="299"/>
    </w:p>
    <w:p>
      <w:pPr>
        <w:pStyle w:val="11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1.12.1</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应认真阅读、复核委托人要求，发现错误的，应及时书面通知委托人。无论</w:t>
      </w:r>
      <w:r>
        <w:rPr>
          <w:rFonts w:ascii="Times New Roman" w:hAnsi="Times New Roman" w:eastAsia="宋体"/>
          <w:sz w:val="24"/>
          <w:szCs w:val="24"/>
          <w:highlight w:val="none"/>
          <w:lang w:eastAsia="zh-CN"/>
        </w:rPr>
        <w:t>是否存在错误，委托人均有权修改委托人要求，并在修改后</w:t>
      </w:r>
      <w:r>
        <w:rPr>
          <w:rFonts w:ascii="Times New Roman" w:hAnsi="Times New Roman"/>
          <w:sz w:val="24"/>
          <w:szCs w:val="24"/>
          <w:highlight w:val="none"/>
          <w:lang w:eastAsia="zh-CN"/>
        </w:rPr>
        <w:t>3</w:t>
      </w:r>
      <w:r>
        <w:rPr>
          <w:rFonts w:ascii="Times New Roman" w:hAnsi="Times New Roman" w:eastAsia="宋体"/>
          <w:sz w:val="24"/>
          <w:szCs w:val="24"/>
          <w:highlight w:val="none"/>
          <w:lang w:eastAsia="zh-CN"/>
        </w:rPr>
        <w:t>天内通知</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。除专用合同条</w:t>
      </w:r>
      <w:r>
        <w:rPr>
          <w:rFonts w:ascii="Times New Roman" w:hAnsi="Times New Roman" w:eastAsia="宋体"/>
          <w:spacing w:val="-1"/>
          <w:sz w:val="24"/>
          <w:szCs w:val="24"/>
          <w:highlight w:val="none"/>
          <w:lang w:eastAsia="zh-CN"/>
        </w:rPr>
        <w:t>款另有约定外，由此导致</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费用增加和</w:t>
      </w:r>
      <w:r>
        <w:rPr>
          <w:rFonts w:ascii="Times New Roman" w:hAnsi="Times New Roman"/>
          <w:sz w:val="24"/>
          <w:szCs w:val="24"/>
          <w:highlight w:val="none"/>
          <w:lang w:eastAsia="zh-CN"/>
        </w:rPr>
        <w:t>(</w:t>
      </w:r>
      <w:r>
        <w:rPr>
          <w:rFonts w:ascii="Times New Roman" w:hAnsi="Times New Roman" w:eastAsia="宋体"/>
          <w:spacing w:val="1"/>
          <w:sz w:val="24"/>
          <w:szCs w:val="24"/>
          <w:highlight w:val="none"/>
          <w:lang w:eastAsia="zh-CN"/>
        </w:rPr>
        <w:t>或</w:t>
      </w:r>
      <w:r>
        <w:rPr>
          <w:rFonts w:ascii="Times New Roman" w:hAnsi="Times New Roman"/>
          <w:spacing w:val="-3"/>
          <w:sz w:val="24"/>
          <w:szCs w:val="24"/>
          <w:highlight w:val="none"/>
          <w:lang w:eastAsia="zh-CN"/>
        </w:rPr>
        <w:t>)</w:t>
      </w:r>
      <w:r>
        <w:rPr>
          <w:rFonts w:ascii="Times New Roman" w:hAnsi="Times New Roman" w:eastAsia="宋体"/>
          <w:spacing w:val="-1"/>
          <w:sz w:val="24"/>
          <w:szCs w:val="24"/>
          <w:highlight w:val="none"/>
          <w:lang w:eastAsia="zh-CN"/>
        </w:rPr>
        <w:t>周期延误的，委托人应当相应地增加费用和</w:t>
      </w:r>
      <w:r>
        <w:rPr>
          <w:rFonts w:ascii="Times New Roman" w:hAnsi="Times New Roman"/>
          <w:sz w:val="24"/>
          <w:szCs w:val="24"/>
          <w:highlight w:val="none"/>
          <w:lang w:eastAsia="zh-CN"/>
        </w:rPr>
        <w:t>(</w:t>
      </w:r>
      <w:r>
        <w:rPr>
          <w:rFonts w:ascii="Times New Roman" w:hAnsi="Times New Roman" w:eastAsia="宋体"/>
          <w:spacing w:val="1"/>
          <w:sz w:val="24"/>
          <w:szCs w:val="24"/>
          <w:highlight w:val="none"/>
          <w:lang w:eastAsia="zh-CN"/>
        </w:rPr>
        <w:t>或</w:t>
      </w:r>
      <w:r>
        <w:rPr>
          <w:rFonts w:ascii="Times New Roman" w:hAnsi="Times New Roman"/>
          <w:sz w:val="24"/>
          <w:szCs w:val="24"/>
          <w:highlight w:val="none"/>
          <w:lang w:eastAsia="zh-CN"/>
        </w:rPr>
        <w:t>)</w:t>
      </w:r>
      <w:r>
        <w:rPr>
          <w:rFonts w:ascii="Times New Roman" w:hAnsi="Times New Roman" w:eastAsia="宋体"/>
          <w:spacing w:val="1"/>
          <w:sz w:val="24"/>
          <w:szCs w:val="24"/>
          <w:highlight w:val="none"/>
          <w:lang w:eastAsia="zh-CN"/>
        </w:rPr>
        <w:t>延长周期。</w:t>
      </w:r>
    </w:p>
    <w:p>
      <w:pPr>
        <w:pStyle w:val="11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1.12.2</w:t>
      </w:r>
      <w:r>
        <w:rPr>
          <w:rFonts w:ascii="Times New Roman" w:hAnsi="Times New Roman" w:eastAsia="宋体"/>
          <w:spacing w:val="1"/>
          <w:sz w:val="24"/>
          <w:szCs w:val="24"/>
          <w:highlight w:val="none"/>
          <w:lang w:eastAsia="zh-CN"/>
        </w:rPr>
        <w:t>如果委托人要求违反法律规定，</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应在发现后及时书面通知委托人，要求其改正。委托人收到通知书后不予改正或不予答复的，</w:t>
      </w:r>
      <w:r>
        <w:rPr>
          <w:rFonts w:hint="eastAsia" w:ascii="Times New Roman" w:hAnsi="Times New Roman" w:eastAsia="宋体"/>
          <w:spacing w:val="1"/>
          <w:sz w:val="24"/>
          <w:szCs w:val="24"/>
          <w:highlight w:val="none"/>
          <w:lang w:eastAsia="zh-CN"/>
        </w:rPr>
        <w:t>服务人有权拒绝履行合同义务并解除合同。除专用合同条款另有约定外，由此导致的服务人的全部损失由委托人承担。</w:t>
      </w:r>
    </w:p>
    <w:p>
      <w:pPr>
        <w:pStyle w:val="11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1.12.3</w:t>
      </w:r>
      <w:r>
        <w:rPr>
          <w:rFonts w:ascii="Times New Roman" w:hAnsi="Times New Roman" w:eastAsia="宋体"/>
          <w:spacing w:val="1"/>
          <w:sz w:val="24"/>
          <w:szCs w:val="24"/>
          <w:highlight w:val="none"/>
          <w:lang w:eastAsia="zh-CN"/>
        </w:rPr>
        <w:t>委托人要求采用国外规范和标准进行服务时，应由委托人负责提供该规范和标准的</w:t>
      </w:r>
      <w:r>
        <w:rPr>
          <w:rFonts w:ascii="Times New Roman" w:hAnsi="Times New Roman" w:eastAsia="宋体"/>
          <w:sz w:val="24"/>
          <w:szCs w:val="24"/>
          <w:highlight w:val="none"/>
          <w:lang w:eastAsia="zh-CN"/>
        </w:rPr>
        <w:t>外国文本和中文译本，提供的时间、份数和其他要求在专用合同条款中约定。</w:t>
      </w:r>
    </w:p>
    <w:p>
      <w:pPr>
        <w:pStyle w:val="107"/>
        <w:spacing w:before="260" w:after="260" w:line="440" w:lineRule="atLeast"/>
        <w:rPr>
          <w:rFonts w:ascii="Times New Roman" w:hAnsi="Times New Roman" w:eastAsia="黑体"/>
          <w:b/>
          <w:spacing w:val="1"/>
          <w:sz w:val="32"/>
          <w:szCs w:val="32"/>
          <w:highlight w:val="none"/>
          <w:lang w:eastAsia="zh-CN"/>
        </w:rPr>
      </w:pPr>
      <w:bookmarkStart w:id="300" w:name="_Toc513817602"/>
      <w:bookmarkStart w:id="301" w:name="_Toc20467"/>
      <w:bookmarkStart w:id="302" w:name="_Toc3946"/>
      <w:bookmarkStart w:id="303" w:name="_Toc508200353"/>
      <w:bookmarkStart w:id="304" w:name="_Toc508201290"/>
      <w:bookmarkStart w:id="305" w:name="_Toc506006072"/>
      <w:r>
        <w:rPr>
          <w:rFonts w:ascii="Times New Roman" w:hAnsi="Times New Roman" w:eastAsia="黑体"/>
          <w:b/>
          <w:spacing w:val="1"/>
          <w:sz w:val="32"/>
          <w:szCs w:val="32"/>
          <w:highlight w:val="none"/>
          <w:lang w:eastAsia="zh-CN"/>
        </w:rPr>
        <w:t>2. 委托人义务</w:t>
      </w:r>
      <w:bookmarkEnd w:id="300"/>
      <w:bookmarkEnd w:id="301"/>
      <w:bookmarkEnd w:id="302"/>
      <w:bookmarkEnd w:id="303"/>
      <w:bookmarkEnd w:id="304"/>
      <w:bookmarkEnd w:id="305"/>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06" w:name="_Toc506006073"/>
      <w:bookmarkStart w:id="307" w:name="_Toc14559"/>
      <w:bookmarkStart w:id="308" w:name="_Toc508200354"/>
      <w:bookmarkStart w:id="309" w:name="_Toc508201291"/>
      <w:bookmarkStart w:id="310" w:name="_Toc16848"/>
      <w:r>
        <w:rPr>
          <w:rFonts w:ascii="Times New Roman" w:hAnsi="Times New Roman" w:eastAsia="黑体"/>
          <w:sz w:val="28"/>
          <w:szCs w:val="21"/>
          <w:highlight w:val="none"/>
          <w:lang w:eastAsia="zh-CN"/>
        </w:rPr>
        <w:t>2.1 遵守法律</w:t>
      </w:r>
      <w:bookmarkEnd w:id="306"/>
      <w:bookmarkEnd w:id="307"/>
      <w:bookmarkEnd w:id="308"/>
      <w:bookmarkEnd w:id="309"/>
      <w:bookmarkEnd w:id="310"/>
    </w:p>
    <w:p>
      <w:pPr>
        <w:pStyle w:val="113"/>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委托人在履行合同过程中应遵守法律，并保证</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免于承担因委托人违反法律而引起的任何责任。</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11" w:name="_Toc508201292"/>
      <w:bookmarkStart w:id="312" w:name="_Toc508200355"/>
      <w:bookmarkStart w:id="313" w:name="_Toc506006074"/>
      <w:bookmarkStart w:id="314" w:name="_Toc19668"/>
      <w:bookmarkStart w:id="315" w:name="_Toc15296"/>
      <w:r>
        <w:rPr>
          <w:rFonts w:ascii="Times New Roman" w:hAnsi="Times New Roman" w:eastAsia="黑体"/>
          <w:sz w:val="28"/>
          <w:szCs w:val="21"/>
          <w:highlight w:val="none"/>
          <w:lang w:eastAsia="zh-CN"/>
        </w:rPr>
        <w:t>2.2 发出开始服务通知</w:t>
      </w:r>
      <w:bookmarkEnd w:id="311"/>
      <w:bookmarkEnd w:id="312"/>
      <w:bookmarkEnd w:id="313"/>
      <w:bookmarkEnd w:id="314"/>
      <w:bookmarkEnd w:id="315"/>
    </w:p>
    <w:p>
      <w:pPr>
        <w:pStyle w:val="11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eastAsia="宋体"/>
          <w:sz w:val="24"/>
          <w:szCs w:val="24"/>
          <w:highlight w:val="none"/>
          <w:lang w:eastAsia="zh-CN"/>
        </w:rPr>
        <w:t>委托人应按第</w:t>
      </w:r>
      <w:r>
        <w:rPr>
          <w:rFonts w:ascii="Times New Roman" w:hAnsi="Times New Roman"/>
          <w:spacing w:val="-1"/>
          <w:sz w:val="24"/>
          <w:szCs w:val="24"/>
          <w:highlight w:val="none"/>
          <w:lang w:eastAsia="zh-CN"/>
        </w:rPr>
        <w:t>6.1</w:t>
      </w:r>
      <w:r>
        <w:rPr>
          <w:rFonts w:ascii="Times New Roman" w:hAnsi="Times New Roman" w:eastAsia="宋体"/>
          <w:sz w:val="24"/>
          <w:szCs w:val="24"/>
          <w:highlight w:val="none"/>
          <w:lang w:eastAsia="zh-CN"/>
        </w:rPr>
        <w:t>款的约定向</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发出开始服务通知。</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16" w:name="_Toc1215"/>
      <w:bookmarkStart w:id="317" w:name="_Toc31606"/>
      <w:bookmarkStart w:id="318" w:name="_Toc506006075"/>
      <w:bookmarkStart w:id="319" w:name="_Toc508201293"/>
      <w:bookmarkStart w:id="320" w:name="_Toc508200356"/>
      <w:r>
        <w:rPr>
          <w:rFonts w:ascii="Times New Roman" w:hAnsi="Times New Roman" w:eastAsia="黑体"/>
          <w:sz w:val="28"/>
          <w:szCs w:val="21"/>
          <w:highlight w:val="none"/>
          <w:lang w:eastAsia="zh-CN"/>
        </w:rPr>
        <w:t>2.3 办理证件和批件</w:t>
      </w:r>
      <w:bookmarkEnd w:id="316"/>
      <w:bookmarkEnd w:id="317"/>
      <w:bookmarkEnd w:id="318"/>
      <w:bookmarkEnd w:id="319"/>
      <w:bookmarkEnd w:id="320"/>
    </w:p>
    <w:p>
      <w:pPr>
        <w:pStyle w:val="113"/>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法律规定和（或）合同约定由委托人负责办理的工程建设项目必须履行的各类审批、核准</w:t>
      </w:r>
      <w:r>
        <w:rPr>
          <w:rFonts w:ascii="Times New Roman" w:hAnsi="Times New Roman" w:eastAsia="宋体"/>
          <w:sz w:val="24"/>
          <w:szCs w:val="24"/>
          <w:highlight w:val="none"/>
          <w:lang w:eastAsia="zh-CN"/>
        </w:rPr>
        <w:t>或备案手续，委托人应当按时办理，</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应给予必要的协助。</w:t>
      </w:r>
    </w:p>
    <w:p>
      <w:pPr>
        <w:pStyle w:val="113"/>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法律规定和（或）合同约定由</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负责办理的服务所需的证件和批件，委托人应给予必要的协助。</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21" w:name="_Toc508200357"/>
      <w:bookmarkStart w:id="322" w:name="_Toc508201294"/>
      <w:bookmarkStart w:id="323" w:name="_Toc506006076"/>
      <w:bookmarkStart w:id="324" w:name="_Toc8654"/>
      <w:bookmarkStart w:id="325" w:name="_Toc20722"/>
      <w:r>
        <w:rPr>
          <w:rFonts w:ascii="Times New Roman" w:hAnsi="Times New Roman" w:eastAsia="黑体"/>
          <w:sz w:val="28"/>
          <w:szCs w:val="21"/>
          <w:highlight w:val="none"/>
          <w:lang w:eastAsia="zh-CN"/>
        </w:rPr>
        <w:t>2.4 支付合同价款</w:t>
      </w:r>
      <w:bookmarkEnd w:id="321"/>
      <w:bookmarkEnd w:id="322"/>
      <w:bookmarkEnd w:id="323"/>
      <w:bookmarkEnd w:id="324"/>
      <w:bookmarkEnd w:id="325"/>
    </w:p>
    <w:p>
      <w:pPr>
        <w:pStyle w:val="11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eastAsia="宋体"/>
          <w:sz w:val="24"/>
          <w:szCs w:val="24"/>
          <w:highlight w:val="none"/>
          <w:lang w:eastAsia="zh-CN"/>
        </w:rPr>
        <w:t>委托人应按合同约定向</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及时支付合同价款。</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26" w:name="_Toc508201295"/>
      <w:bookmarkStart w:id="327" w:name="_Toc506006077"/>
      <w:bookmarkStart w:id="328" w:name="_Toc31505"/>
      <w:bookmarkStart w:id="329" w:name="_Toc508200358"/>
      <w:bookmarkStart w:id="330" w:name="_Toc23454"/>
      <w:r>
        <w:rPr>
          <w:rFonts w:ascii="Times New Roman" w:hAnsi="Times New Roman" w:eastAsia="黑体"/>
          <w:sz w:val="28"/>
          <w:szCs w:val="21"/>
          <w:highlight w:val="none"/>
          <w:lang w:eastAsia="zh-CN"/>
        </w:rPr>
        <w:t>2.5 提供服务资料</w:t>
      </w:r>
      <w:bookmarkEnd w:id="326"/>
      <w:bookmarkEnd w:id="327"/>
      <w:bookmarkEnd w:id="328"/>
      <w:bookmarkEnd w:id="329"/>
      <w:bookmarkEnd w:id="330"/>
    </w:p>
    <w:p>
      <w:pPr>
        <w:pStyle w:val="11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eastAsia="宋体"/>
          <w:sz w:val="24"/>
          <w:szCs w:val="24"/>
          <w:highlight w:val="none"/>
          <w:lang w:eastAsia="zh-CN"/>
        </w:rPr>
        <w:t>委托人应按第</w:t>
      </w:r>
      <w:r>
        <w:rPr>
          <w:rFonts w:ascii="Times New Roman" w:hAnsi="Times New Roman"/>
          <w:sz w:val="24"/>
          <w:szCs w:val="24"/>
          <w:highlight w:val="none"/>
          <w:lang w:eastAsia="zh-CN"/>
        </w:rPr>
        <w:t>1.6.2</w:t>
      </w:r>
      <w:r>
        <w:rPr>
          <w:rFonts w:ascii="Times New Roman" w:hAnsi="Times New Roman" w:eastAsia="宋体"/>
          <w:sz w:val="24"/>
          <w:szCs w:val="24"/>
          <w:highlight w:val="none"/>
          <w:lang w:eastAsia="zh-CN"/>
        </w:rPr>
        <w:t>项的约定向</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提供服务资料。</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31" w:name="_Toc943"/>
      <w:bookmarkStart w:id="332" w:name="_Toc7400"/>
      <w:bookmarkStart w:id="333" w:name="_Toc508201296"/>
      <w:bookmarkStart w:id="334" w:name="_Toc508200359"/>
      <w:bookmarkStart w:id="335" w:name="_Toc506006078"/>
      <w:r>
        <w:rPr>
          <w:rFonts w:ascii="Times New Roman" w:hAnsi="Times New Roman" w:eastAsia="黑体"/>
          <w:sz w:val="28"/>
          <w:szCs w:val="21"/>
          <w:highlight w:val="none"/>
          <w:lang w:eastAsia="zh-CN"/>
        </w:rPr>
        <w:t>2.6</w:t>
      </w:r>
      <w:r>
        <w:rPr>
          <w:rFonts w:hint="eastAsia" w:ascii="Times New Roman" w:hAnsi="Times New Roman" w:eastAsia="黑体"/>
          <w:sz w:val="28"/>
          <w:szCs w:val="21"/>
          <w:highlight w:val="none"/>
          <w:lang w:eastAsia="zh-CN"/>
        </w:rPr>
        <w:t>协调配合义务</w:t>
      </w:r>
      <w:bookmarkEnd w:id="331"/>
      <w:bookmarkEnd w:id="332"/>
      <w:r>
        <w:rPr>
          <w:rFonts w:ascii="Times New Roman" w:hAnsi="Times New Roman" w:eastAsia="黑体"/>
          <w:sz w:val="28"/>
          <w:szCs w:val="21"/>
          <w:highlight w:val="none"/>
          <w:lang w:eastAsia="zh-CN"/>
        </w:rPr>
        <w:t xml:space="preserve"> </w:t>
      </w:r>
    </w:p>
    <w:p>
      <w:pPr>
        <w:pStyle w:val="113"/>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中标人为履行合同需要建设项目施工承包人和</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或）监理人配合的，委托人应协调施工承包人和</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或）监理人予以配合。</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36" w:name="_Toc213"/>
      <w:bookmarkStart w:id="337" w:name="_Toc26572"/>
      <w:r>
        <w:rPr>
          <w:rFonts w:ascii="Times New Roman" w:hAnsi="Times New Roman" w:eastAsia="黑体"/>
          <w:sz w:val="28"/>
          <w:szCs w:val="21"/>
          <w:highlight w:val="none"/>
          <w:lang w:eastAsia="zh-CN"/>
        </w:rPr>
        <w:t>2.7 其他义务</w:t>
      </w:r>
      <w:bookmarkEnd w:id="333"/>
      <w:bookmarkEnd w:id="334"/>
      <w:bookmarkEnd w:id="335"/>
      <w:bookmarkEnd w:id="336"/>
      <w:bookmarkEnd w:id="337"/>
    </w:p>
    <w:p>
      <w:pPr>
        <w:pStyle w:val="114"/>
        <w:spacing w:before="60" w:after="60" w:line="440" w:lineRule="atLeast"/>
        <w:ind w:firstLine="480" w:firstLineChars="200"/>
        <w:rPr>
          <w:rFonts w:ascii="Times New Roman" w:hAnsi="Times New Roman"/>
          <w:sz w:val="24"/>
          <w:szCs w:val="24"/>
          <w:highlight w:val="none"/>
          <w:lang w:eastAsia="zh-CN"/>
        </w:rPr>
      </w:pPr>
      <w:r>
        <w:rPr>
          <w:rFonts w:ascii="Times New Roman" w:hAnsi="Times New Roman" w:eastAsia="宋体"/>
          <w:sz w:val="24"/>
          <w:szCs w:val="24"/>
          <w:highlight w:val="none"/>
          <w:lang w:eastAsia="zh-CN"/>
        </w:rPr>
        <w:t>委托人应履行合同约定的其他义务。</w:t>
      </w:r>
    </w:p>
    <w:p>
      <w:pPr>
        <w:pStyle w:val="107"/>
        <w:spacing w:before="260" w:after="260" w:line="440" w:lineRule="atLeast"/>
        <w:rPr>
          <w:rFonts w:ascii="Times New Roman" w:hAnsi="Times New Roman" w:eastAsia="黑体"/>
          <w:b/>
          <w:spacing w:val="1"/>
          <w:sz w:val="32"/>
          <w:szCs w:val="32"/>
          <w:highlight w:val="none"/>
          <w:lang w:eastAsia="zh-CN"/>
        </w:rPr>
      </w:pPr>
      <w:bookmarkStart w:id="338" w:name="_Toc508200360"/>
      <w:bookmarkStart w:id="339" w:name="_Toc506006079"/>
      <w:bookmarkStart w:id="340" w:name="_Toc513817603"/>
      <w:bookmarkStart w:id="341" w:name="_Toc2568"/>
      <w:bookmarkStart w:id="342" w:name="_Toc508201297"/>
      <w:bookmarkStart w:id="343" w:name="_Toc143"/>
      <w:r>
        <w:rPr>
          <w:rFonts w:ascii="Times New Roman" w:hAnsi="Times New Roman" w:eastAsia="黑体"/>
          <w:b/>
          <w:spacing w:val="1"/>
          <w:sz w:val="32"/>
          <w:szCs w:val="32"/>
          <w:highlight w:val="none"/>
          <w:lang w:eastAsia="zh-CN"/>
        </w:rPr>
        <w:t>3. 委托人管理</w:t>
      </w:r>
      <w:bookmarkEnd w:id="338"/>
      <w:bookmarkEnd w:id="339"/>
      <w:bookmarkEnd w:id="340"/>
      <w:bookmarkEnd w:id="341"/>
      <w:bookmarkEnd w:id="342"/>
      <w:bookmarkEnd w:id="343"/>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44" w:name="_Toc508201298"/>
      <w:bookmarkStart w:id="345" w:name="_Toc508200361"/>
      <w:bookmarkStart w:id="346" w:name="_Toc19719"/>
      <w:bookmarkStart w:id="347" w:name="_Toc10062"/>
      <w:bookmarkStart w:id="348" w:name="_Toc506006080"/>
      <w:r>
        <w:rPr>
          <w:rFonts w:ascii="Times New Roman" w:hAnsi="Times New Roman" w:eastAsia="黑体"/>
          <w:sz w:val="28"/>
          <w:szCs w:val="21"/>
          <w:highlight w:val="none"/>
          <w:lang w:eastAsia="zh-CN"/>
        </w:rPr>
        <w:t>3.1 委托人代表</w:t>
      </w:r>
      <w:bookmarkEnd w:id="344"/>
      <w:bookmarkEnd w:id="345"/>
      <w:bookmarkEnd w:id="346"/>
      <w:bookmarkEnd w:id="347"/>
      <w:bookmarkEnd w:id="348"/>
    </w:p>
    <w:p>
      <w:pPr>
        <w:pStyle w:val="114"/>
        <w:spacing w:before="60" w:after="6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 xml:space="preserve">3.1.1 </w:t>
      </w:r>
      <w:r>
        <w:rPr>
          <w:rFonts w:ascii="Times New Roman" w:hAnsi="Times New Roman" w:eastAsia="宋体"/>
          <w:spacing w:val="-3"/>
          <w:sz w:val="24"/>
          <w:szCs w:val="24"/>
          <w:highlight w:val="none"/>
          <w:lang w:eastAsia="zh-CN"/>
        </w:rPr>
        <w:t>除专用合同条款另有约定外，委托人应在合同签订后</w:t>
      </w:r>
      <w:r>
        <w:rPr>
          <w:rFonts w:ascii="Times New Roman" w:hAnsi="Times New Roman"/>
          <w:spacing w:val="1"/>
          <w:sz w:val="24"/>
          <w:szCs w:val="24"/>
          <w:highlight w:val="none"/>
          <w:lang w:eastAsia="zh-CN"/>
        </w:rPr>
        <w:t>14</w:t>
      </w:r>
      <w:r>
        <w:rPr>
          <w:rFonts w:ascii="Times New Roman" w:hAnsi="Times New Roman" w:eastAsia="宋体"/>
          <w:spacing w:val="-5"/>
          <w:sz w:val="24"/>
          <w:szCs w:val="24"/>
          <w:highlight w:val="none"/>
          <w:lang w:eastAsia="zh-CN"/>
        </w:rPr>
        <w:t>天内，将委托人代表的姓名、</w:t>
      </w:r>
      <w:r>
        <w:rPr>
          <w:rFonts w:ascii="Times New Roman" w:hAnsi="Times New Roman" w:eastAsia="宋体"/>
          <w:spacing w:val="1"/>
          <w:sz w:val="24"/>
          <w:szCs w:val="24"/>
          <w:highlight w:val="none"/>
          <w:lang w:eastAsia="zh-CN"/>
        </w:rPr>
        <w:t>职务、联系方式、授权范围和授权期限书面通知</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，由委托人代表在其授权范围和授权期限内，代表委托人行使权利、履行义务和处理合同履行中的具体事宜。委托人代表在授权范围</w:t>
      </w:r>
      <w:r>
        <w:rPr>
          <w:rFonts w:ascii="Times New Roman" w:hAnsi="Times New Roman" w:eastAsia="宋体"/>
          <w:sz w:val="24"/>
          <w:szCs w:val="24"/>
          <w:highlight w:val="none"/>
          <w:lang w:eastAsia="zh-CN"/>
        </w:rPr>
        <w:t>内的行为由委托人承担法律责任。</w:t>
      </w:r>
    </w:p>
    <w:p>
      <w:pPr>
        <w:pStyle w:val="114"/>
        <w:spacing w:before="60" w:after="6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3.1.2</w:t>
      </w:r>
      <w:r>
        <w:rPr>
          <w:rFonts w:ascii="Times New Roman" w:hAnsi="Times New Roman" w:eastAsia="宋体"/>
          <w:spacing w:val="-1"/>
          <w:sz w:val="24"/>
          <w:szCs w:val="24"/>
          <w:highlight w:val="none"/>
          <w:lang w:eastAsia="zh-CN"/>
        </w:rPr>
        <w:t>委托人代表违反法律法规、违背职业道德守则或者不按合同约定履行职责及义务，导</w:t>
      </w:r>
      <w:r>
        <w:rPr>
          <w:rFonts w:ascii="Times New Roman" w:hAnsi="Times New Roman" w:eastAsia="宋体"/>
          <w:sz w:val="24"/>
          <w:szCs w:val="24"/>
          <w:highlight w:val="none"/>
          <w:lang w:eastAsia="zh-CN"/>
        </w:rPr>
        <w:t>致合同无法继续正常履行的，</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有权通知委托人更换委托人代表。委托人收到通知后</w:t>
      </w:r>
      <w:r>
        <w:rPr>
          <w:rFonts w:ascii="Times New Roman" w:hAnsi="Times New Roman"/>
          <w:sz w:val="24"/>
          <w:szCs w:val="24"/>
          <w:highlight w:val="none"/>
          <w:lang w:eastAsia="zh-CN"/>
        </w:rPr>
        <w:t>7</w:t>
      </w:r>
      <w:r>
        <w:rPr>
          <w:rFonts w:ascii="Times New Roman" w:hAnsi="Times New Roman" w:eastAsia="宋体"/>
          <w:sz w:val="24"/>
          <w:szCs w:val="24"/>
          <w:highlight w:val="none"/>
          <w:lang w:eastAsia="zh-CN"/>
        </w:rPr>
        <w:t>天内，应当核实完毕并将处理结果通知</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w:t>
      </w:r>
    </w:p>
    <w:p>
      <w:pPr>
        <w:pStyle w:val="114"/>
        <w:spacing w:before="60" w:after="6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3.1.3</w:t>
      </w:r>
      <w:r>
        <w:rPr>
          <w:rFonts w:ascii="Times New Roman" w:hAnsi="Times New Roman" w:eastAsia="宋体"/>
          <w:sz w:val="24"/>
          <w:szCs w:val="24"/>
          <w:highlight w:val="none"/>
          <w:lang w:eastAsia="zh-CN"/>
        </w:rPr>
        <w:t>委托人更换委托人代表的，应提前</w:t>
      </w:r>
      <w:r>
        <w:rPr>
          <w:rFonts w:ascii="Times New Roman" w:hAnsi="Times New Roman"/>
          <w:spacing w:val="1"/>
          <w:sz w:val="24"/>
          <w:szCs w:val="24"/>
          <w:highlight w:val="none"/>
          <w:lang w:eastAsia="zh-CN"/>
        </w:rPr>
        <w:t>14</w:t>
      </w:r>
      <w:r>
        <w:rPr>
          <w:rFonts w:ascii="Times New Roman" w:hAnsi="Times New Roman" w:eastAsia="宋体"/>
          <w:sz w:val="24"/>
          <w:szCs w:val="24"/>
          <w:highlight w:val="none"/>
          <w:lang w:eastAsia="zh-CN"/>
        </w:rPr>
        <w:t>天将更换人员的姓名、职务、联系方式、授权范围和授权期限书面通知</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w:t>
      </w:r>
    </w:p>
    <w:p>
      <w:pPr>
        <w:pStyle w:val="114"/>
        <w:spacing w:before="60" w:after="6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 xml:space="preserve">3.1.4 </w:t>
      </w:r>
      <w:r>
        <w:rPr>
          <w:rFonts w:hint="eastAsia" w:ascii="Times New Roman" w:hAnsi="Times New Roman" w:eastAsia="宋体"/>
          <w:sz w:val="24"/>
          <w:szCs w:val="24"/>
          <w:highlight w:val="none"/>
          <w:lang w:eastAsia="zh-CN"/>
        </w:rPr>
        <w:t>委托人代表可以授权委托人的其他人员负责执行其指派的一项或多项工作。</w:t>
      </w:r>
      <w:r>
        <w:rPr>
          <w:rFonts w:ascii="Times New Roman" w:hAnsi="Times New Roman" w:eastAsia="宋体"/>
          <w:sz w:val="24"/>
          <w:szCs w:val="24"/>
          <w:highlight w:val="none"/>
          <w:lang w:eastAsia="zh-CN"/>
        </w:rPr>
        <w:t>委托人代表应将被授权人员的姓名、职务、联系方式、授权范围和授权期限书面通知</w:t>
      </w:r>
      <w:r>
        <w:rPr>
          <w:rFonts w:hint="eastAsia" w:ascii="Times New Roman" w:hAnsi="Times New Roman" w:eastAsia="宋体"/>
          <w:sz w:val="24"/>
          <w:szCs w:val="24"/>
          <w:highlight w:val="none"/>
          <w:lang w:eastAsia="zh-CN"/>
        </w:rPr>
        <w:t>服务人。被授权人员在授权范围内发出的指示视为</w:t>
      </w:r>
      <w:r>
        <w:rPr>
          <w:rFonts w:ascii="Times New Roman" w:hAnsi="Times New Roman" w:eastAsia="宋体"/>
          <w:sz w:val="24"/>
          <w:szCs w:val="24"/>
          <w:highlight w:val="none"/>
          <w:lang w:eastAsia="zh-CN"/>
        </w:rPr>
        <w:t>已得到委托人代表的同意，与委托人代表发出的指示具有同等效力。</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49" w:name="_Toc506006081"/>
      <w:bookmarkStart w:id="350" w:name="_Toc24316"/>
      <w:bookmarkStart w:id="351" w:name="_Toc508201299"/>
      <w:bookmarkStart w:id="352" w:name="_Toc12197"/>
      <w:bookmarkStart w:id="353" w:name="_Toc508200362"/>
      <w:r>
        <w:rPr>
          <w:rFonts w:ascii="Times New Roman" w:hAnsi="Times New Roman" w:eastAsia="黑体"/>
          <w:sz w:val="28"/>
          <w:szCs w:val="21"/>
          <w:highlight w:val="none"/>
          <w:lang w:eastAsia="zh-CN"/>
        </w:rPr>
        <w:t>3.2</w:t>
      </w:r>
      <w:bookmarkEnd w:id="349"/>
      <w:bookmarkStart w:id="354" w:name="_Toc506006082"/>
      <w:r>
        <w:rPr>
          <w:rFonts w:ascii="Times New Roman" w:hAnsi="Times New Roman" w:eastAsia="黑体"/>
          <w:sz w:val="28"/>
          <w:szCs w:val="21"/>
          <w:highlight w:val="none"/>
          <w:lang w:eastAsia="zh-CN"/>
        </w:rPr>
        <w:t>委托人的指示</w:t>
      </w:r>
      <w:bookmarkEnd w:id="350"/>
      <w:bookmarkEnd w:id="351"/>
      <w:bookmarkEnd w:id="352"/>
      <w:bookmarkEnd w:id="353"/>
      <w:bookmarkEnd w:id="354"/>
    </w:p>
    <w:p>
      <w:pPr>
        <w:pStyle w:val="114"/>
        <w:spacing w:before="60" w:after="6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3.2.1</w:t>
      </w:r>
      <w:r>
        <w:rPr>
          <w:rFonts w:ascii="Times New Roman" w:hAnsi="Times New Roman" w:eastAsia="宋体"/>
          <w:spacing w:val="-2"/>
          <w:sz w:val="24"/>
          <w:szCs w:val="24"/>
          <w:highlight w:val="none"/>
          <w:lang w:eastAsia="zh-CN"/>
        </w:rPr>
        <w:t>委托人应按合同约定向</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发出指示，委托人的指示应盖有委托人单位章，并由委托人</w:t>
      </w:r>
      <w:r>
        <w:rPr>
          <w:rFonts w:ascii="Times New Roman" w:hAnsi="Times New Roman" w:eastAsia="宋体"/>
          <w:sz w:val="24"/>
          <w:szCs w:val="24"/>
          <w:highlight w:val="none"/>
          <w:lang w:eastAsia="zh-CN"/>
        </w:rPr>
        <w:t>代表签字确认。</w:t>
      </w:r>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3.2.2</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收到委托人作出的指示后应遵照执行。指示构成变更的，应按第</w:t>
      </w:r>
      <w:r>
        <w:rPr>
          <w:rFonts w:ascii="Times New Roman" w:hAnsi="Times New Roman"/>
          <w:spacing w:val="-7"/>
          <w:sz w:val="24"/>
          <w:szCs w:val="24"/>
          <w:highlight w:val="none"/>
          <w:lang w:eastAsia="zh-CN"/>
        </w:rPr>
        <w:t>11</w:t>
      </w:r>
      <w:r>
        <w:rPr>
          <w:rFonts w:ascii="Times New Roman" w:hAnsi="Times New Roman" w:eastAsia="宋体"/>
          <w:sz w:val="24"/>
          <w:szCs w:val="24"/>
          <w:highlight w:val="none"/>
          <w:lang w:eastAsia="zh-CN"/>
        </w:rPr>
        <w:t>条执行。</w:t>
      </w:r>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3.2.3</w:t>
      </w:r>
      <w:r>
        <w:rPr>
          <w:rFonts w:ascii="Times New Roman" w:hAnsi="Times New Roman" w:eastAsia="宋体"/>
          <w:spacing w:val="-2"/>
          <w:sz w:val="24"/>
          <w:szCs w:val="24"/>
          <w:highlight w:val="none"/>
          <w:lang w:eastAsia="zh-CN"/>
        </w:rPr>
        <w:t>在紧急情况下，委托人代表或其授权人员可以当场签发临时书面指示，</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应遵照执行。委托人代表应在临时书面指示发出后</w:t>
      </w:r>
      <w:r>
        <w:rPr>
          <w:rFonts w:ascii="Times New Roman" w:hAnsi="Times New Roman"/>
          <w:spacing w:val="-2"/>
          <w:sz w:val="24"/>
          <w:szCs w:val="24"/>
          <w:highlight w:val="none"/>
          <w:lang w:eastAsia="zh-CN"/>
        </w:rPr>
        <w:t>24</w:t>
      </w:r>
      <w:r>
        <w:rPr>
          <w:rFonts w:ascii="Times New Roman" w:hAnsi="Times New Roman" w:eastAsia="宋体"/>
          <w:spacing w:val="-2"/>
          <w:sz w:val="24"/>
          <w:szCs w:val="24"/>
          <w:highlight w:val="none"/>
          <w:lang w:eastAsia="zh-CN"/>
        </w:rPr>
        <w:t>小时内发出书面确认函，逾期未发出书面确认函</w:t>
      </w:r>
      <w:r>
        <w:rPr>
          <w:rFonts w:ascii="Times New Roman" w:hAnsi="Times New Roman" w:eastAsia="宋体"/>
          <w:sz w:val="24"/>
          <w:szCs w:val="24"/>
          <w:highlight w:val="none"/>
          <w:lang w:eastAsia="zh-CN"/>
        </w:rPr>
        <w:t>的，该临时书面指示应被视为委托人的正式指示。</w:t>
      </w:r>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3.2.4</w:t>
      </w:r>
      <w:r>
        <w:rPr>
          <w:rFonts w:hint="eastAsia" w:ascii="Times New Roman" w:hAnsi="Times New Roman" w:eastAsia="宋体"/>
          <w:spacing w:val="-2"/>
          <w:sz w:val="24"/>
          <w:szCs w:val="24"/>
          <w:highlight w:val="none"/>
          <w:lang w:eastAsia="zh-CN"/>
        </w:rPr>
        <w:t>除专用合同条款另有约定外，服务人只从委托人代表或按第</w:t>
      </w:r>
      <w:r>
        <w:rPr>
          <w:rFonts w:ascii="Times New Roman" w:hAnsi="Times New Roman" w:eastAsia="宋体"/>
          <w:spacing w:val="-2"/>
          <w:sz w:val="24"/>
          <w:szCs w:val="24"/>
          <w:highlight w:val="none"/>
          <w:lang w:eastAsia="zh-CN"/>
        </w:rPr>
        <w:t>3.1.4</w:t>
      </w:r>
      <w:r>
        <w:rPr>
          <w:rFonts w:hint="eastAsia" w:ascii="Times New Roman" w:hAnsi="Times New Roman" w:eastAsia="宋体"/>
          <w:spacing w:val="-2"/>
          <w:sz w:val="24"/>
          <w:szCs w:val="24"/>
          <w:highlight w:val="none"/>
          <w:lang w:eastAsia="zh-CN"/>
        </w:rPr>
        <w:t>项约定的委托人代表授权人员处取得指示。</w:t>
      </w:r>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3.2.5</w:t>
      </w:r>
      <w:r>
        <w:rPr>
          <w:rFonts w:ascii="Times New Roman" w:hAnsi="Times New Roman" w:eastAsia="宋体"/>
          <w:spacing w:val="-2"/>
          <w:sz w:val="24"/>
          <w:szCs w:val="24"/>
          <w:highlight w:val="none"/>
          <w:lang w:eastAsia="zh-CN"/>
        </w:rPr>
        <w:t>由于委托人未能按合同约定发出指示、指示延误或指示错误而导致</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费用增加和</w:t>
      </w:r>
      <w:r>
        <w:rPr>
          <w:rFonts w:ascii="Times New Roman" w:hAnsi="Times New Roman" w:eastAsia="宋体"/>
          <w:sz w:val="24"/>
          <w:szCs w:val="24"/>
          <w:highlight w:val="none"/>
          <w:lang w:eastAsia="zh-CN"/>
        </w:rPr>
        <w:t>（或）周期延误的，委托人应承担由此增加的费用和（或）周期延误。</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55" w:name="_Toc508201300"/>
      <w:bookmarkStart w:id="356" w:name="_Toc506006083"/>
      <w:bookmarkStart w:id="357" w:name="_Toc508200363"/>
      <w:bookmarkStart w:id="358" w:name="_Toc19184"/>
      <w:bookmarkStart w:id="359" w:name="_Toc6940"/>
      <w:r>
        <w:rPr>
          <w:rFonts w:ascii="Times New Roman" w:hAnsi="Times New Roman" w:eastAsia="黑体"/>
          <w:sz w:val="28"/>
          <w:szCs w:val="21"/>
          <w:highlight w:val="none"/>
          <w:lang w:eastAsia="zh-CN"/>
        </w:rPr>
        <w:t>3.3决定或答复</w:t>
      </w:r>
      <w:bookmarkEnd w:id="355"/>
      <w:bookmarkEnd w:id="356"/>
      <w:bookmarkEnd w:id="357"/>
      <w:bookmarkEnd w:id="358"/>
      <w:bookmarkEnd w:id="359"/>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w:t>
      </w:r>
      <w:r>
        <w:rPr>
          <w:rFonts w:ascii="Times New Roman" w:hAnsi="Times New Roman" w:eastAsia="宋体"/>
          <w:b/>
          <w:sz w:val="24"/>
          <w:szCs w:val="24"/>
          <w:highlight w:val="none"/>
          <w:lang w:eastAsia="zh-CN"/>
        </w:rPr>
        <w:t>3</w:t>
      </w:r>
      <w:r>
        <w:rPr>
          <w:rFonts w:ascii="Times New Roman" w:hAnsi="Times New Roman"/>
          <w:b/>
          <w:sz w:val="24"/>
          <w:szCs w:val="24"/>
          <w:highlight w:val="none"/>
          <w:lang w:eastAsia="zh-CN"/>
        </w:rPr>
        <w:t>.1</w:t>
      </w:r>
      <w:r>
        <w:rPr>
          <w:rFonts w:ascii="Times New Roman" w:hAnsi="Times New Roman" w:eastAsia="宋体"/>
          <w:spacing w:val="2"/>
          <w:sz w:val="24"/>
          <w:szCs w:val="24"/>
          <w:highlight w:val="none"/>
          <w:lang w:eastAsia="zh-CN"/>
        </w:rPr>
        <w:t>委托人在法律允许的范围内有权对</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的服务工作和（或）服务成果文件作出处理决定，</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应按照委托人的决定执行，涉及服务期限或服务费用等问题按第</w:t>
      </w:r>
      <w:r>
        <w:rPr>
          <w:rFonts w:ascii="Times New Roman" w:hAnsi="Times New Roman"/>
          <w:spacing w:val="-4"/>
          <w:sz w:val="24"/>
          <w:szCs w:val="24"/>
          <w:highlight w:val="none"/>
          <w:lang w:eastAsia="zh-CN"/>
        </w:rPr>
        <w:t>11</w:t>
      </w:r>
      <w:r>
        <w:rPr>
          <w:rFonts w:ascii="Times New Roman" w:hAnsi="Times New Roman" w:eastAsia="宋体"/>
          <w:spacing w:val="2"/>
          <w:sz w:val="24"/>
          <w:szCs w:val="24"/>
          <w:highlight w:val="none"/>
          <w:lang w:eastAsia="zh-CN"/>
        </w:rPr>
        <w:t>条的约定处理。</w:t>
      </w:r>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3.3.2</w:t>
      </w:r>
      <w:r>
        <w:rPr>
          <w:rFonts w:ascii="Times New Roman" w:hAnsi="Times New Roman" w:eastAsia="宋体"/>
          <w:spacing w:val="1"/>
          <w:sz w:val="24"/>
          <w:szCs w:val="24"/>
          <w:highlight w:val="none"/>
          <w:lang w:eastAsia="zh-CN"/>
        </w:rPr>
        <w:t>委托人应在专用合同条款约定的时间之内，对</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书面提出的事项作出书面答复；</w:t>
      </w:r>
      <w:r>
        <w:rPr>
          <w:rFonts w:ascii="Times New Roman" w:hAnsi="Times New Roman" w:eastAsia="宋体"/>
          <w:sz w:val="24"/>
          <w:szCs w:val="24"/>
          <w:highlight w:val="none"/>
          <w:lang w:eastAsia="zh-CN"/>
        </w:rPr>
        <w:t>逾期没有做出答复的，视为已获得委托人的批准。</w:t>
      </w:r>
    </w:p>
    <w:p>
      <w:pPr>
        <w:pStyle w:val="107"/>
        <w:spacing w:before="260" w:after="260" w:line="440" w:lineRule="atLeast"/>
        <w:rPr>
          <w:rFonts w:ascii="Times New Roman" w:hAnsi="Times New Roman" w:eastAsia="黑体"/>
          <w:b/>
          <w:spacing w:val="1"/>
          <w:sz w:val="32"/>
          <w:szCs w:val="32"/>
          <w:highlight w:val="none"/>
          <w:lang w:eastAsia="zh-CN"/>
        </w:rPr>
      </w:pPr>
      <w:bookmarkStart w:id="360" w:name="_Toc18545"/>
      <w:bookmarkStart w:id="361" w:name="_Toc513817604"/>
      <w:bookmarkStart w:id="362" w:name="_Toc508201301"/>
      <w:bookmarkStart w:id="363" w:name="_Toc7628"/>
      <w:bookmarkStart w:id="364" w:name="_Toc508200364"/>
      <w:bookmarkStart w:id="365" w:name="_Toc506006084"/>
      <w:r>
        <w:rPr>
          <w:rFonts w:ascii="Times New Roman" w:hAnsi="Times New Roman" w:eastAsia="黑体"/>
          <w:b/>
          <w:spacing w:val="1"/>
          <w:sz w:val="32"/>
          <w:szCs w:val="32"/>
          <w:highlight w:val="none"/>
          <w:lang w:eastAsia="zh-CN"/>
        </w:rPr>
        <w:t xml:space="preserve">4. </w:t>
      </w:r>
      <w:r>
        <w:rPr>
          <w:rFonts w:hint="eastAsia" w:ascii="Times New Roman" w:hAnsi="Times New Roman" w:eastAsia="黑体"/>
          <w:b/>
          <w:spacing w:val="1"/>
          <w:sz w:val="32"/>
          <w:szCs w:val="32"/>
          <w:highlight w:val="none"/>
          <w:lang w:eastAsia="zh-CN"/>
        </w:rPr>
        <w:t>中标</w:t>
      </w:r>
      <w:r>
        <w:rPr>
          <w:rFonts w:ascii="Times New Roman" w:hAnsi="Times New Roman" w:eastAsia="黑体"/>
          <w:b/>
          <w:spacing w:val="1"/>
          <w:sz w:val="32"/>
          <w:szCs w:val="32"/>
          <w:highlight w:val="none"/>
          <w:lang w:eastAsia="zh-CN"/>
        </w:rPr>
        <w:t>人义务</w:t>
      </w:r>
      <w:bookmarkEnd w:id="360"/>
      <w:bookmarkEnd w:id="361"/>
      <w:bookmarkEnd w:id="362"/>
      <w:bookmarkEnd w:id="363"/>
      <w:bookmarkEnd w:id="364"/>
      <w:bookmarkEnd w:id="365"/>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66" w:name="_Toc11372"/>
      <w:bookmarkStart w:id="367" w:name="_Toc14787"/>
      <w:bookmarkStart w:id="368" w:name="_Toc508200365"/>
      <w:bookmarkStart w:id="369" w:name="_Toc508201302"/>
      <w:bookmarkStart w:id="370" w:name="_Toc506006085"/>
      <w:r>
        <w:rPr>
          <w:rFonts w:ascii="Times New Roman" w:hAnsi="Times New Roman" w:eastAsia="黑体"/>
          <w:sz w:val="28"/>
          <w:szCs w:val="21"/>
          <w:highlight w:val="none"/>
          <w:lang w:eastAsia="zh-CN"/>
        </w:rPr>
        <w:t xml:space="preserve">4.1 </w:t>
      </w:r>
      <w:r>
        <w:rPr>
          <w:rFonts w:hint="eastAsia" w:ascii="Times New Roman" w:hAnsi="Times New Roman" w:eastAsia="黑体"/>
          <w:sz w:val="28"/>
          <w:szCs w:val="21"/>
          <w:highlight w:val="none"/>
          <w:lang w:eastAsia="zh-CN"/>
        </w:rPr>
        <w:t>中标</w:t>
      </w:r>
      <w:r>
        <w:rPr>
          <w:rFonts w:ascii="Times New Roman" w:hAnsi="Times New Roman" w:eastAsia="黑体"/>
          <w:sz w:val="28"/>
          <w:szCs w:val="21"/>
          <w:highlight w:val="none"/>
          <w:lang w:eastAsia="zh-CN"/>
        </w:rPr>
        <w:t>人的一般义务</w:t>
      </w:r>
      <w:bookmarkEnd w:id="366"/>
      <w:bookmarkEnd w:id="367"/>
      <w:bookmarkEnd w:id="368"/>
      <w:bookmarkEnd w:id="369"/>
      <w:bookmarkEnd w:id="370"/>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4.1.1</w:t>
      </w:r>
      <w:r>
        <w:rPr>
          <w:rFonts w:ascii="Times New Roman" w:hAnsi="Times New Roman" w:eastAsia="宋体"/>
          <w:spacing w:val="1"/>
          <w:sz w:val="24"/>
          <w:szCs w:val="24"/>
          <w:highlight w:val="none"/>
          <w:lang w:eastAsia="zh-CN"/>
        </w:rPr>
        <w:t>遵守法律</w:t>
      </w:r>
    </w:p>
    <w:p>
      <w:pPr>
        <w:pStyle w:val="115"/>
        <w:spacing w:before="0" w:after="0" w:line="440" w:lineRule="atLeast"/>
        <w:ind w:firstLine="484" w:firstLineChars="200"/>
        <w:rPr>
          <w:rFonts w:ascii="Times New Roman" w:hAnsi="Times New Roman"/>
          <w:sz w:val="24"/>
          <w:szCs w:val="24"/>
          <w:highlight w:val="none"/>
          <w:lang w:eastAsia="zh-CN"/>
        </w:rPr>
      </w:pPr>
      <w:r>
        <w:rPr>
          <w:rFonts w:hint="eastAsia" w:ascii="Times New Roman" w:hAnsi="Times New Roman" w:eastAsia="宋体"/>
          <w:spacing w:val="1"/>
          <w:sz w:val="24"/>
          <w:szCs w:val="24"/>
          <w:highlight w:val="none"/>
          <w:lang w:eastAsia="zh-CN"/>
        </w:rPr>
        <w:t>中标</w:t>
      </w:r>
      <w:r>
        <w:rPr>
          <w:rFonts w:ascii="Times New Roman" w:hAnsi="Times New Roman" w:eastAsia="宋体"/>
          <w:spacing w:val="1"/>
          <w:sz w:val="24"/>
          <w:szCs w:val="24"/>
          <w:highlight w:val="none"/>
          <w:lang w:eastAsia="zh-CN"/>
        </w:rPr>
        <w:t>人在履行合同过程中应遵守法律，并保证委托人免于承担因</w:t>
      </w:r>
      <w:r>
        <w:rPr>
          <w:rFonts w:hint="eastAsia" w:ascii="Times New Roman" w:hAnsi="Times New Roman" w:eastAsia="宋体"/>
          <w:spacing w:val="1"/>
          <w:sz w:val="24"/>
          <w:szCs w:val="24"/>
          <w:highlight w:val="none"/>
          <w:lang w:eastAsia="zh-CN"/>
        </w:rPr>
        <w:t>中标</w:t>
      </w:r>
      <w:r>
        <w:rPr>
          <w:rFonts w:ascii="Times New Roman" w:hAnsi="Times New Roman" w:eastAsia="宋体"/>
          <w:spacing w:val="1"/>
          <w:sz w:val="24"/>
          <w:szCs w:val="24"/>
          <w:highlight w:val="none"/>
          <w:lang w:eastAsia="zh-CN"/>
        </w:rPr>
        <w:t>人违反法律而引起的任何责任。</w:t>
      </w:r>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4.1.2</w:t>
      </w:r>
      <w:r>
        <w:rPr>
          <w:rFonts w:ascii="Times New Roman" w:hAnsi="Times New Roman" w:eastAsia="宋体"/>
          <w:spacing w:val="1"/>
          <w:sz w:val="24"/>
          <w:szCs w:val="24"/>
          <w:highlight w:val="none"/>
          <w:lang w:eastAsia="zh-CN"/>
        </w:rPr>
        <w:t>依法纳税</w:t>
      </w:r>
    </w:p>
    <w:p>
      <w:pPr>
        <w:pStyle w:val="115"/>
        <w:spacing w:before="0" w:after="0" w:line="440" w:lineRule="atLeast"/>
        <w:ind w:firstLine="480" w:firstLineChars="200"/>
        <w:rPr>
          <w:rFonts w:ascii="Times New Roman" w:hAnsi="Times New Roman"/>
          <w:sz w:val="24"/>
          <w:szCs w:val="24"/>
          <w:highlight w:val="none"/>
          <w:lang w:eastAsia="zh-CN"/>
        </w:rPr>
      </w:pPr>
      <w:r>
        <w:rPr>
          <w:rFonts w:hint="eastAsia" w:ascii="Times New Roman" w:hAnsi="Times New Roman" w:eastAsia="宋体"/>
          <w:sz w:val="24"/>
          <w:szCs w:val="24"/>
          <w:highlight w:val="none"/>
          <w:lang w:eastAsia="zh-CN"/>
        </w:rPr>
        <w:t>中标</w:t>
      </w:r>
      <w:r>
        <w:rPr>
          <w:rFonts w:ascii="Times New Roman" w:hAnsi="Times New Roman" w:eastAsia="宋体"/>
          <w:sz w:val="24"/>
          <w:szCs w:val="24"/>
          <w:highlight w:val="none"/>
          <w:lang w:eastAsia="zh-CN"/>
        </w:rPr>
        <w:t>人应按有关法律规定纳税，应缴纳的税金（含增值税）包括在合同价格之中。</w:t>
      </w:r>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4.1.3</w:t>
      </w:r>
      <w:r>
        <w:rPr>
          <w:rFonts w:ascii="Times New Roman" w:hAnsi="Times New Roman" w:eastAsia="宋体"/>
          <w:spacing w:val="1"/>
          <w:sz w:val="24"/>
          <w:szCs w:val="24"/>
          <w:highlight w:val="none"/>
          <w:lang w:eastAsia="zh-CN"/>
        </w:rPr>
        <w:t>完成全部服务工作</w:t>
      </w:r>
    </w:p>
    <w:p>
      <w:pPr>
        <w:pStyle w:val="115"/>
        <w:spacing w:before="0" w:after="0" w:line="440" w:lineRule="atLeast"/>
        <w:ind w:firstLine="484" w:firstLineChars="200"/>
        <w:rPr>
          <w:rFonts w:ascii="Times New Roman" w:hAnsi="Times New Roman"/>
          <w:sz w:val="24"/>
          <w:szCs w:val="24"/>
          <w:highlight w:val="none"/>
          <w:lang w:eastAsia="zh-CN"/>
        </w:rPr>
      </w:pPr>
      <w:r>
        <w:rPr>
          <w:rFonts w:hint="eastAsia" w:ascii="Times New Roman" w:hAnsi="Times New Roman" w:eastAsia="宋体"/>
          <w:spacing w:val="1"/>
          <w:sz w:val="24"/>
          <w:szCs w:val="24"/>
          <w:highlight w:val="none"/>
          <w:lang w:eastAsia="zh-CN"/>
        </w:rPr>
        <w:t>中标</w:t>
      </w:r>
      <w:r>
        <w:rPr>
          <w:rFonts w:ascii="Times New Roman" w:hAnsi="Times New Roman" w:eastAsia="宋体"/>
          <w:spacing w:val="1"/>
          <w:sz w:val="24"/>
          <w:szCs w:val="24"/>
          <w:highlight w:val="none"/>
          <w:lang w:eastAsia="zh-CN"/>
        </w:rPr>
        <w:t>人应按合同约定以及委托人要求，完成合同约定的全部工作，并对工作中的任何缺陷进行整改、完善和修补，使其满足合同约定的目的。</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应按合同约定提供服务成果文件及服务相关工作</w:t>
      </w:r>
      <w:r>
        <w:rPr>
          <w:rFonts w:ascii="Times New Roman" w:hAnsi="Times New Roman" w:eastAsia="宋体"/>
          <w:sz w:val="24"/>
          <w:szCs w:val="24"/>
          <w:highlight w:val="none"/>
          <w:lang w:eastAsia="zh-CN"/>
        </w:rPr>
        <w:t>等。</w:t>
      </w:r>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4.1.4</w:t>
      </w:r>
      <w:r>
        <w:rPr>
          <w:rFonts w:ascii="Times New Roman" w:hAnsi="Times New Roman" w:eastAsia="宋体"/>
          <w:spacing w:val="1"/>
          <w:sz w:val="24"/>
          <w:szCs w:val="24"/>
          <w:highlight w:val="none"/>
          <w:lang w:eastAsia="zh-CN"/>
        </w:rPr>
        <w:t>其他义务</w:t>
      </w:r>
    </w:p>
    <w:p>
      <w:pPr>
        <w:pStyle w:val="115"/>
        <w:spacing w:before="0" w:after="0" w:line="440" w:lineRule="atLeast"/>
        <w:ind w:firstLine="480" w:firstLineChars="200"/>
        <w:rPr>
          <w:rFonts w:ascii="Times New Roman" w:hAnsi="Times New Roman"/>
          <w:sz w:val="24"/>
          <w:szCs w:val="24"/>
          <w:highlight w:val="none"/>
          <w:lang w:eastAsia="zh-CN"/>
        </w:rPr>
      </w:pP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应履行合同约定的其他义务。</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71" w:name="_Toc24203"/>
      <w:bookmarkStart w:id="372" w:name="_Toc19104"/>
      <w:bookmarkStart w:id="373" w:name="_Toc508200366"/>
      <w:bookmarkStart w:id="374" w:name="_Toc506006086"/>
      <w:bookmarkStart w:id="375" w:name="_Toc508201303"/>
      <w:r>
        <w:rPr>
          <w:rFonts w:ascii="Times New Roman" w:hAnsi="Times New Roman" w:eastAsia="黑体"/>
          <w:sz w:val="28"/>
          <w:szCs w:val="21"/>
          <w:highlight w:val="none"/>
          <w:lang w:eastAsia="zh-CN"/>
        </w:rPr>
        <w:t>4.2 履约保证金</w:t>
      </w:r>
      <w:bookmarkEnd w:id="371"/>
      <w:bookmarkEnd w:id="372"/>
      <w:bookmarkEnd w:id="373"/>
      <w:bookmarkEnd w:id="374"/>
      <w:bookmarkEnd w:id="375"/>
    </w:p>
    <w:p>
      <w:pPr>
        <w:pStyle w:val="116"/>
        <w:spacing w:before="0" w:after="0" w:line="440" w:lineRule="atLeast"/>
        <w:ind w:firstLine="472" w:firstLineChars="200"/>
        <w:rPr>
          <w:rFonts w:ascii="Times New Roman" w:hAnsi="Times New Roman" w:eastAsia="宋体"/>
          <w:spacing w:val="-2"/>
          <w:sz w:val="24"/>
          <w:szCs w:val="24"/>
          <w:highlight w:val="none"/>
          <w:lang w:eastAsia="zh-CN"/>
        </w:rPr>
      </w:pPr>
      <w:r>
        <w:rPr>
          <w:rFonts w:hint="eastAsia" w:ascii="Times New Roman" w:hAnsi="Times New Roman" w:eastAsia="宋体"/>
          <w:spacing w:val="-2"/>
          <w:sz w:val="24"/>
          <w:szCs w:val="24"/>
          <w:highlight w:val="none"/>
          <w:lang w:eastAsia="zh-CN"/>
        </w:rPr>
        <w:t>委托人需要服务人提交履约保证金的，由合同当事人在专用合同条款中约定履约保证金的方式、金额和期限。</w:t>
      </w:r>
    </w:p>
    <w:p>
      <w:pPr>
        <w:pStyle w:val="116"/>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除专用合同条款另有约定外，履约保证金自合同生效之日起生效，在委托人签收最后一批</w:t>
      </w:r>
      <w:r>
        <w:rPr>
          <w:rFonts w:ascii="Times New Roman" w:hAnsi="Times New Roman" w:eastAsia="宋体"/>
          <w:sz w:val="24"/>
          <w:szCs w:val="24"/>
          <w:highlight w:val="none"/>
          <w:lang w:eastAsia="zh-CN"/>
        </w:rPr>
        <w:t>服务成果文件之日起</w:t>
      </w:r>
      <w:r>
        <w:rPr>
          <w:rFonts w:ascii="Times New Roman" w:hAnsi="Times New Roman"/>
          <w:spacing w:val="1"/>
          <w:sz w:val="24"/>
          <w:szCs w:val="24"/>
          <w:highlight w:val="none"/>
          <w:lang w:eastAsia="zh-CN"/>
        </w:rPr>
        <w:t>28</w:t>
      </w:r>
      <w:r>
        <w:rPr>
          <w:rFonts w:ascii="Times New Roman" w:hAnsi="Times New Roman" w:eastAsia="宋体"/>
          <w:spacing w:val="-2"/>
          <w:sz w:val="24"/>
          <w:szCs w:val="24"/>
          <w:highlight w:val="none"/>
          <w:lang w:eastAsia="zh-CN"/>
        </w:rPr>
        <w:t>天后失效。如果</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不履行合同约定的义务或其履行不符合合同的约</w:t>
      </w:r>
      <w:r>
        <w:rPr>
          <w:rFonts w:ascii="Times New Roman" w:hAnsi="Times New Roman" w:eastAsia="宋体"/>
          <w:sz w:val="24"/>
          <w:szCs w:val="24"/>
          <w:highlight w:val="none"/>
          <w:lang w:eastAsia="zh-CN"/>
        </w:rPr>
        <w:t>定，委托人有权扣划相应金额的履约保证金。</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76" w:name="_Toc506006087"/>
      <w:bookmarkStart w:id="377" w:name="_Toc508201304"/>
      <w:bookmarkStart w:id="378" w:name="_Toc508200367"/>
      <w:bookmarkStart w:id="379" w:name="_Toc12987"/>
      <w:bookmarkStart w:id="380" w:name="_Toc6127"/>
      <w:r>
        <w:rPr>
          <w:rFonts w:ascii="Times New Roman" w:hAnsi="Times New Roman" w:eastAsia="黑体"/>
          <w:sz w:val="28"/>
          <w:szCs w:val="21"/>
          <w:highlight w:val="none"/>
          <w:lang w:eastAsia="zh-CN"/>
        </w:rPr>
        <w:t>4.3 分包和不得转包</w:t>
      </w:r>
      <w:bookmarkEnd w:id="376"/>
      <w:bookmarkEnd w:id="377"/>
      <w:bookmarkEnd w:id="378"/>
      <w:bookmarkEnd w:id="379"/>
      <w:bookmarkEnd w:id="380"/>
    </w:p>
    <w:p>
      <w:pPr>
        <w:pStyle w:val="116"/>
        <w:spacing w:before="0" w:after="0" w:line="440" w:lineRule="atLeast"/>
        <w:ind w:firstLine="480" w:firstLineChars="200"/>
        <w:rPr>
          <w:rFonts w:ascii="宋体" w:hAnsi="宋体" w:eastAsia="宋体"/>
          <w:spacing w:val="-2"/>
          <w:sz w:val="24"/>
          <w:szCs w:val="24"/>
          <w:highlight w:val="none"/>
          <w:lang w:eastAsia="zh-CN"/>
        </w:rPr>
      </w:pPr>
      <w:r>
        <w:rPr>
          <w:rFonts w:ascii="Times New Roman" w:hAnsi="Times New Roman"/>
          <w:b/>
          <w:sz w:val="24"/>
          <w:szCs w:val="24"/>
          <w:highlight w:val="none"/>
          <w:lang w:eastAsia="zh-CN"/>
        </w:rPr>
        <w:t>4.3.1</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不得将其</w:t>
      </w:r>
      <w:r>
        <w:rPr>
          <w:rFonts w:ascii="宋体" w:hAnsi="宋体" w:eastAsia="宋体"/>
          <w:sz w:val="24"/>
          <w:szCs w:val="24"/>
          <w:highlight w:val="none"/>
          <w:lang w:eastAsia="zh-CN"/>
        </w:rPr>
        <w:t>服务</w:t>
      </w:r>
      <w:r>
        <w:rPr>
          <w:rFonts w:ascii="宋体" w:hAnsi="宋体" w:eastAsia="宋体" w:cs="微软雅黑"/>
          <w:spacing w:val="-2"/>
          <w:sz w:val="24"/>
          <w:highlight w:val="none"/>
          <w:lang w:eastAsia="zh-CN"/>
        </w:rPr>
        <w:t>的全部工作转包给第三人</w:t>
      </w:r>
      <w:r>
        <w:rPr>
          <w:rFonts w:hint="eastAsia" w:ascii="宋体" w:hAnsi="宋体" w:eastAsia="宋体"/>
          <w:spacing w:val="-2"/>
          <w:sz w:val="24"/>
          <w:szCs w:val="24"/>
          <w:highlight w:val="none"/>
          <w:lang w:eastAsia="zh-CN"/>
        </w:rPr>
        <w:t>，或将其承包的全部服务工程肢解后以分包的名义转包给第三人。</w:t>
      </w:r>
    </w:p>
    <w:p>
      <w:pPr>
        <w:pStyle w:val="116"/>
        <w:spacing w:before="0" w:after="0" w:line="440" w:lineRule="atLeast"/>
        <w:ind w:firstLine="472" w:firstLineChars="200"/>
        <w:rPr>
          <w:rFonts w:ascii="Times New Roman" w:hAnsi="Times New Roman" w:eastAsia="宋体"/>
          <w:spacing w:val="-2"/>
          <w:sz w:val="24"/>
          <w:szCs w:val="24"/>
          <w:highlight w:val="none"/>
          <w:lang w:eastAsia="zh-CN"/>
        </w:rPr>
      </w:pPr>
      <w:r>
        <w:rPr>
          <w:rFonts w:hint="eastAsia" w:ascii="Times New Roman" w:hAnsi="Times New Roman" w:eastAsia="宋体"/>
          <w:spacing w:val="-2"/>
          <w:sz w:val="24"/>
          <w:szCs w:val="24"/>
          <w:highlight w:val="none"/>
          <w:lang w:eastAsia="zh-CN"/>
        </w:rPr>
        <w:t>服务人不得将服务的主要、关键性工作分包给第三人。除专用合同条款另有约定外，未经委托人同意，服务人也不得将非主要、非关键性工作分包给第三人。具体可分包的服务内容及要求在专用合同条款中约定。</w:t>
      </w:r>
    </w:p>
    <w:p>
      <w:pPr>
        <w:pStyle w:val="11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4.3.3</w:t>
      </w:r>
      <w:r>
        <w:rPr>
          <w:rFonts w:ascii="Times New Roman" w:hAnsi="Times New Roman" w:eastAsia="宋体"/>
          <w:spacing w:val="-2"/>
          <w:sz w:val="24"/>
          <w:szCs w:val="24"/>
          <w:highlight w:val="none"/>
          <w:lang w:eastAsia="zh-CN"/>
        </w:rPr>
        <w:t>委托人同意</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分包工作的，</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应向委托人提交</w:t>
      </w:r>
      <w:r>
        <w:rPr>
          <w:rFonts w:ascii="Times New Roman" w:hAnsi="Times New Roman"/>
          <w:sz w:val="24"/>
          <w:szCs w:val="24"/>
          <w:highlight w:val="none"/>
          <w:lang w:eastAsia="zh-CN"/>
        </w:rPr>
        <w:t>1</w:t>
      </w:r>
      <w:r>
        <w:rPr>
          <w:rFonts w:ascii="Times New Roman" w:hAnsi="Times New Roman" w:eastAsia="宋体"/>
          <w:spacing w:val="-3"/>
          <w:sz w:val="24"/>
          <w:szCs w:val="24"/>
          <w:highlight w:val="none"/>
          <w:lang w:eastAsia="zh-CN"/>
        </w:rPr>
        <w:t>份分包合同副本，并对分包</w:t>
      </w:r>
      <w:r>
        <w:rPr>
          <w:rFonts w:ascii="Times New Roman" w:hAnsi="Times New Roman" w:eastAsia="宋体"/>
          <w:spacing w:val="1"/>
          <w:sz w:val="24"/>
          <w:szCs w:val="24"/>
          <w:highlight w:val="none"/>
          <w:lang w:eastAsia="zh-CN"/>
        </w:rPr>
        <w:t>服务工作质量承担连带责任。除专用合同条款另有约定外，分包人的服务费用由</w:t>
      </w:r>
      <w:r>
        <w:rPr>
          <w:rFonts w:hint="eastAsia" w:ascii="Times New Roman" w:hAnsi="Times New Roman" w:eastAsia="宋体"/>
          <w:spacing w:val="1"/>
          <w:sz w:val="24"/>
          <w:szCs w:val="24"/>
          <w:highlight w:val="none"/>
          <w:lang w:eastAsia="zh-CN"/>
        </w:rPr>
        <w:t>服务人</w:t>
      </w:r>
      <w:r>
        <w:rPr>
          <w:rFonts w:hint="eastAsia" w:ascii="Times New Roman" w:hAnsi="Times New Roman" w:eastAsia="宋体"/>
          <w:spacing w:val="-2"/>
          <w:sz w:val="24"/>
          <w:szCs w:val="24"/>
          <w:highlight w:val="none"/>
          <w:lang w:eastAsia="zh-CN"/>
        </w:rPr>
        <w:t>与分包人自行支付。生效法律文书要求委托人向分包人支付分包合同价款的，委托人有权从应付服务人工程款中扣除该部分款项。</w:t>
      </w:r>
    </w:p>
    <w:p>
      <w:pPr>
        <w:pStyle w:val="11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4.3.4</w:t>
      </w:r>
      <w:r>
        <w:rPr>
          <w:rFonts w:ascii="Times New Roman" w:hAnsi="Times New Roman" w:eastAsia="宋体"/>
          <w:spacing w:val="-5"/>
          <w:sz w:val="24"/>
          <w:szCs w:val="24"/>
          <w:highlight w:val="none"/>
          <w:lang w:eastAsia="zh-CN"/>
        </w:rPr>
        <w:t>分包人的资格能力应与其分包工作的标准和规模相适应，包括必要的企业资质、人员、</w:t>
      </w:r>
      <w:r>
        <w:rPr>
          <w:rFonts w:ascii="Times New Roman" w:hAnsi="Times New Roman" w:eastAsia="宋体"/>
          <w:sz w:val="24"/>
          <w:szCs w:val="24"/>
          <w:highlight w:val="none"/>
          <w:lang w:eastAsia="zh-CN"/>
        </w:rPr>
        <w:t>设备和类似业绩等。</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81" w:name="_Toc508201305"/>
      <w:bookmarkStart w:id="382" w:name="_Toc3959"/>
      <w:bookmarkStart w:id="383" w:name="_Toc508200368"/>
      <w:bookmarkStart w:id="384" w:name="_Toc32445"/>
      <w:bookmarkStart w:id="385" w:name="_Toc506006088"/>
      <w:r>
        <w:rPr>
          <w:rFonts w:ascii="Times New Roman" w:hAnsi="Times New Roman" w:eastAsia="黑体"/>
          <w:sz w:val="28"/>
          <w:szCs w:val="21"/>
          <w:highlight w:val="none"/>
          <w:lang w:eastAsia="zh-CN"/>
        </w:rPr>
        <w:t>4.4 联合体</w:t>
      </w:r>
      <w:bookmarkEnd w:id="381"/>
      <w:bookmarkEnd w:id="382"/>
      <w:bookmarkEnd w:id="383"/>
      <w:bookmarkEnd w:id="384"/>
      <w:bookmarkEnd w:id="385"/>
    </w:p>
    <w:p>
      <w:pPr>
        <w:pStyle w:val="11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4.4.1</w:t>
      </w:r>
      <w:r>
        <w:rPr>
          <w:rFonts w:ascii="Times New Roman" w:hAnsi="Times New Roman" w:eastAsia="宋体"/>
          <w:sz w:val="24"/>
          <w:szCs w:val="24"/>
          <w:highlight w:val="none"/>
          <w:lang w:eastAsia="zh-CN"/>
        </w:rPr>
        <w:t>联合体各方应共同与委托人签订合同。联合体各方应为履行合同承担连带责任。</w:t>
      </w:r>
    </w:p>
    <w:p>
      <w:pPr>
        <w:pStyle w:val="11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4.4.2</w:t>
      </w:r>
      <w:r>
        <w:rPr>
          <w:rFonts w:ascii="Times New Roman" w:hAnsi="Times New Roman" w:eastAsia="宋体"/>
          <w:spacing w:val="-2"/>
          <w:sz w:val="24"/>
          <w:szCs w:val="24"/>
          <w:highlight w:val="none"/>
          <w:lang w:eastAsia="zh-CN"/>
        </w:rPr>
        <w:t>联合体协议经委托人确认后作为合同附件。在履行合同过程中，未经委托人同意，不</w:t>
      </w:r>
      <w:r>
        <w:rPr>
          <w:rFonts w:ascii="Times New Roman" w:hAnsi="Times New Roman" w:eastAsia="宋体"/>
          <w:sz w:val="24"/>
          <w:szCs w:val="24"/>
          <w:highlight w:val="none"/>
          <w:lang w:eastAsia="zh-CN"/>
        </w:rPr>
        <w:t>得修改联合体协议。</w:t>
      </w:r>
    </w:p>
    <w:p>
      <w:pPr>
        <w:pStyle w:val="11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4.4.3</w:t>
      </w:r>
      <w:r>
        <w:rPr>
          <w:rFonts w:ascii="Times New Roman" w:hAnsi="Times New Roman" w:eastAsia="宋体"/>
          <w:spacing w:val="-2"/>
          <w:sz w:val="24"/>
          <w:szCs w:val="24"/>
          <w:highlight w:val="none"/>
          <w:lang w:eastAsia="zh-CN"/>
        </w:rPr>
        <w:t>联合体牵头人负责与委托人联系，并接受指示，负责组织联合体</w:t>
      </w:r>
      <w:r>
        <w:rPr>
          <w:rFonts w:ascii="Times New Roman" w:hAnsi="Times New Roman" w:eastAsia="宋体"/>
          <w:sz w:val="24"/>
          <w:szCs w:val="24"/>
          <w:highlight w:val="none"/>
          <w:lang w:eastAsia="zh-CN"/>
        </w:rPr>
        <w:t>各成员全面履行合同。</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86" w:name="_Toc25222"/>
      <w:bookmarkStart w:id="387" w:name="_Toc508201306"/>
      <w:bookmarkStart w:id="388" w:name="_Toc508200369"/>
      <w:bookmarkStart w:id="389" w:name="_Toc506006089"/>
      <w:bookmarkStart w:id="390" w:name="_Toc13014"/>
      <w:r>
        <w:rPr>
          <w:rFonts w:ascii="Times New Roman" w:hAnsi="Times New Roman" w:eastAsia="黑体"/>
          <w:sz w:val="28"/>
          <w:szCs w:val="21"/>
          <w:highlight w:val="none"/>
          <w:lang w:eastAsia="zh-CN"/>
        </w:rPr>
        <w:t>4.5 项目负责人</w:t>
      </w:r>
      <w:bookmarkEnd w:id="386"/>
      <w:bookmarkEnd w:id="387"/>
      <w:bookmarkEnd w:id="388"/>
      <w:bookmarkEnd w:id="389"/>
      <w:bookmarkEnd w:id="390"/>
    </w:p>
    <w:p>
      <w:pPr>
        <w:pStyle w:val="11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4.5.1</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应按合同协议书的约定指派项目负责人，并在约定的期限内到职。</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更换</w:t>
      </w:r>
      <w:r>
        <w:rPr>
          <w:rFonts w:ascii="Times New Roman" w:hAnsi="Times New Roman" w:eastAsia="宋体"/>
          <w:spacing w:val="-3"/>
          <w:sz w:val="24"/>
          <w:szCs w:val="24"/>
          <w:highlight w:val="none"/>
          <w:lang w:eastAsia="zh-CN"/>
        </w:rPr>
        <w:t>项目负责人应事先征得委托人同意，并应在更换</w:t>
      </w:r>
      <w:r>
        <w:rPr>
          <w:rFonts w:ascii="Times New Roman" w:hAnsi="Times New Roman"/>
          <w:spacing w:val="1"/>
          <w:sz w:val="24"/>
          <w:szCs w:val="24"/>
          <w:highlight w:val="none"/>
          <w:lang w:eastAsia="zh-CN"/>
        </w:rPr>
        <w:t>14</w:t>
      </w:r>
      <w:r>
        <w:rPr>
          <w:rFonts w:ascii="Times New Roman" w:hAnsi="Times New Roman" w:eastAsia="宋体"/>
          <w:sz w:val="24"/>
          <w:szCs w:val="24"/>
          <w:highlight w:val="none"/>
          <w:lang w:eastAsia="zh-CN"/>
        </w:rPr>
        <w:t>天前将拟更换的项目负责人的姓名和详细资料提交委托人。项目负责人</w:t>
      </w:r>
      <w:r>
        <w:rPr>
          <w:rFonts w:ascii="Times New Roman" w:hAnsi="Times New Roman"/>
          <w:sz w:val="24"/>
          <w:szCs w:val="24"/>
          <w:highlight w:val="none"/>
          <w:lang w:eastAsia="zh-CN"/>
        </w:rPr>
        <w:t>2</w:t>
      </w:r>
      <w:r>
        <w:rPr>
          <w:rFonts w:ascii="Times New Roman" w:hAnsi="Times New Roman" w:eastAsia="宋体"/>
          <w:sz w:val="24"/>
          <w:szCs w:val="24"/>
          <w:highlight w:val="none"/>
          <w:lang w:eastAsia="zh-CN"/>
        </w:rPr>
        <w:t>天内不能履行职责的，应事先征得委托人同意，并委派代表代行其职责。</w:t>
      </w:r>
    </w:p>
    <w:p>
      <w:pPr>
        <w:pStyle w:val="11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4.5.2</w:t>
      </w:r>
      <w:r>
        <w:rPr>
          <w:rFonts w:ascii="Times New Roman" w:hAnsi="Times New Roman" w:eastAsia="宋体"/>
          <w:spacing w:val="-1"/>
          <w:sz w:val="24"/>
          <w:szCs w:val="24"/>
          <w:highlight w:val="none"/>
          <w:lang w:eastAsia="zh-CN"/>
        </w:rPr>
        <w:t>项目负责人应按合同约定以及委托人要求，负责组织合同工作的实施。在情况紧急且</w:t>
      </w:r>
      <w:r>
        <w:rPr>
          <w:rFonts w:ascii="Times New Roman" w:hAnsi="Times New Roman" w:eastAsia="宋体"/>
          <w:spacing w:val="1"/>
          <w:sz w:val="24"/>
          <w:szCs w:val="24"/>
          <w:highlight w:val="none"/>
          <w:lang w:eastAsia="zh-CN"/>
        </w:rPr>
        <w:t>无法与委托人取得联系时，可采取保证工程和人员生命财产安全的紧急措施，并在采取措施后</w:t>
      </w:r>
      <w:r>
        <w:rPr>
          <w:rFonts w:ascii="Times New Roman" w:hAnsi="Times New Roman"/>
          <w:spacing w:val="1"/>
          <w:sz w:val="24"/>
          <w:szCs w:val="24"/>
          <w:highlight w:val="none"/>
          <w:lang w:eastAsia="zh-CN"/>
        </w:rPr>
        <w:t>24</w:t>
      </w:r>
      <w:r>
        <w:rPr>
          <w:rFonts w:ascii="Times New Roman" w:hAnsi="Times New Roman" w:eastAsia="宋体"/>
          <w:sz w:val="24"/>
          <w:szCs w:val="24"/>
          <w:highlight w:val="none"/>
          <w:lang w:eastAsia="zh-CN"/>
        </w:rPr>
        <w:t>小时内向委托人提交书面报告。</w:t>
      </w:r>
    </w:p>
    <w:p>
      <w:pPr>
        <w:pStyle w:val="11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4.5.3</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为履行合同发出的一切函件均应盖有</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单位章，并由</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的项目负责人</w:t>
      </w:r>
      <w:r>
        <w:rPr>
          <w:rFonts w:ascii="Times New Roman" w:hAnsi="Times New Roman" w:eastAsia="宋体"/>
          <w:spacing w:val="1"/>
          <w:sz w:val="24"/>
          <w:szCs w:val="24"/>
          <w:highlight w:val="none"/>
          <w:lang w:eastAsia="zh-CN"/>
        </w:rPr>
        <w:t>签字确认。</w:t>
      </w:r>
    </w:p>
    <w:p>
      <w:pPr>
        <w:pStyle w:val="11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 xml:space="preserve">4.5.4 </w:t>
      </w:r>
      <w:r>
        <w:rPr>
          <w:rFonts w:ascii="Times New Roman" w:hAnsi="Times New Roman" w:eastAsia="宋体"/>
          <w:spacing w:val="-2"/>
          <w:sz w:val="24"/>
          <w:szCs w:val="24"/>
          <w:highlight w:val="none"/>
          <w:lang w:eastAsia="zh-CN"/>
        </w:rPr>
        <w:t>按</w:t>
      </w:r>
      <w:r>
        <w:rPr>
          <w:rFonts w:hint="eastAsia" w:ascii="Times New Roman" w:hAnsi="Times New Roman" w:eastAsia="宋体"/>
          <w:sz w:val="24"/>
          <w:szCs w:val="24"/>
          <w:highlight w:val="none"/>
          <w:lang w:eastAsia="zh-CN"/>
        </w:rPr>
        <w:t>照专用合同条款约定，项目负责人可以授权其下属人员履行其某项职责，但事先应将这些人员的姓名、职务、联系方式、授权范围和授权期限书面通知委托人。</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91" w:name="_Toc508200370"/>
      <w:bookmarkStart w:id="392" w:name="_Toc506006090"/>
      <w:bookmarkStart w:id="393" w:name="_Toc508201307"/>
      <w:bookmarkStart w:id="394" w:name="_Toc14513"/>
      <w:bookmarkStart w:id="395" w:name="_Toc29764"/>
      <w:r>
        <w:rPr>
          <w:rFonts w:ascii="Times New Roman" w:hAnsi="Times New Roman" w:eastAsia="黑体"/>
          <w:sz w:val="28"/>
          <w:szCs w:val="21"/>
          <w:highlight w:val="none"/>
          <w:lang w:eastAsia="zh-CN"/>
        </w:rPr>
        <w:t xml:space="preserve">4.6 </w:t>
      </w:r>
      <w:r>
        <w:rPr>
          <w:rFonts w:hint="eastAsia" w:ascii="Times New Roman" w:hAnsi="Times New Roman" w:eastAsia="黑体"/>
          <w:sz w:val="28"/>
          <w:szCs w:val="21"/>
          <w:highlight w:val="none"/>
          <w:lang w:eastAsia="zh-CN"/>
        </w:rPr>
        <w:t>服务人</w:t>
      </w:r>
      <w:r>
        <w:rPr>
          <w:rFonts w:ascii="Times New Roman" w:hAnsi="Times New Roman" w:eastAsia="黑体"/>
          <w:sz w:val="28"/>
          <w:szCs w:val="21"/>
          <w:highlight w:val="none"/>
          <w:lang w:eastAsia="zh-CN"/>
        </w:rPr>
        <w:t>员的管理</w:t>
      </w:r>
      <w:bookmarkEnd w:id="391"/>
      <w:bookmarkEnd w:id="392"/>
      <w:bookmarkEnd w:id="393"/>
      <w:bookmarkEnd w:id="394"/>
      <w:bookmarkEnd w:id="395"/>
    </w:p>
    <w:p>
      <w:pPr>
        <w:pStyle w:val="117"/>
        <w:spacing w:before="0" w:after="0" w:line="440" w:lineRule="atLeast"/>
        <w:ind w:firstLine="480" w:firstLineChars="200"/>
        <w:rPr>
          <w:rFonts w:ascii="Times New Roman" w:hAnsi="Times New Roman"/>
          <w:sz w:val="24"/>
          <w:szCs w:val="24"/>
          <w:highlight w:val="none"/>
          <w:lang w:eastAsia="zh-CN"/>
        </w:rPr>
      </w:pPr>
      <w:bookmarkStart w:id="396" w:name="_Hlk29022857"/>
      <w:r>
        <w:rPr>
          <w:rFonts w:ascii="Times New Roman" w:hAnsi="Times New Roman"/>
          <w:b/>
          <w:sz w:val="24"/>
          <w:szCs w:val="24"/>
          <w:highlight w:val="none"/>
          <w:lang w:eastAsia="zh-CN"/>
        </w:rPr>
        <w:t>4.6.1</w:t>
      </w:r>
      <w:r>
        <w:rPr>
          <w:rFonts w:hint="eastAsia" w:ascii="Times New Roman" w:hAnsi="Times New Roman" w:eastAsia="宋体"/>
          <w:sz w:val="24"/>
          <w:szCs w:val="24"/>
          <w:highlight w:val="none"/>
          <w:lang w:eastAsia="zh-CN"/>
        </w:rPr>
        <w:t>中标</w:t>
      </w:r>
      <w:r>
        <w:rPr>
          <w:rFonts w:ascii="Times New Roman" w:hAnsi="Times New Roman" w:eastAsia="宋体"/>
          <w:sz w:val="24"/>
          <w:szCs w:val="24"/>
          <w:highlight w:val="none"/>
          <w:lang w:eastAsia="zh-CN"/>
        </w:rPr>
        <w:t>人应在接到开始服务通知之日起</w:t>
      </w:r>
      <w:r>
        <w:rPr>
          <w:rFonts w:ascii="Times New Roman" w:hAnsi="Times New Roman"/>
          <w:sz w:val="24"/>
          <w:szCs w:val="24"/>
          <w:highlight w:val="none"/>
          <w:lang w:eastAsia="zh-CN"/>
        </w:rPr>
        <w:t>7</w:t>
      </w:r>
      <w:r>
        <w:rPr>
          <w:rFonts w:ascii="Times New Roman" w:hAnsi="Times New Roman" w:eastAsia="宋体"/>
          <w:spacing w:val="-4"/>
          <w:sz w:val="24"/>
          <w:szCs w:val="24"/>
          <w:highlight w:val="none"/>
          <w:lang w:eastAsia="zh-CN"/>
        </w:rPr>
        <w:t>天内，向委托人提交</w:t>
      </w:r>
      <w:r>
        <w:rPr>
          <w:rFonts w:hint="eastAsia" w:ascii="Times New Roman" w:hAnsi="Times New Roman" w:eastAsia="宋体"/>
          <w:spacing w:val="-4"/>
          <w:sz w:val="24"/>
          <w:szCs w:val="24"/>
          <w:highlight w:val="none"/>
          <w:lang w:eastAsia="zh-CN"/>
        </w:rPr>
        <w:t>服务</w:t>
      </w:r>
      <w:r>
        <w:rPr>
          <w:rFonts w:ascii="Times New Roman" w:hAnsi="Times New Roman" w:eastAsia="宋体"/>
          <w:spacing w:val="-4"/>
          <w:sz w:val="24"/>
          <w:szCs w:val="24"/>
          <w:highlight w:val="none"/>
          <w:lang w:eastAsia="zh-CN"/>
        </w:rPr>
        <w:t>项目机构以及人员安</w:t>
      </w:r>
      <w:r>
        <w:rPr>
          <w:rFonts w:ascii="Times New Roman" w:hAnsi="Times New Roman" w:eastAsia="宋体"/>
          <w:spacing w:val="1"/>
          <w:sz w:val="24"/>
          <w:szCs w:val="24"/>
          <w:highlight w:val="none"/>
          <w:lang w:eastAsia="zh-CN"/>
        </w:rPr>
        <w:t>排的报告，其内容应包括项目机构设置、主要</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员和其他人员的名单及资格条件。主要</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员应相对稳定，更换主要</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员的，应取得委托人的同意</w:t>
      </w:r>
      <w:r>
        <w:rPr>
          <w:rFonts w:ascii="Times New Roman" w:hAnsi="Times New Roman"/>
          <w:spacing w:val="-2"/>
          <w:sz w:val="24"/>
          <w:szCs w:val="24"/>
          <w:highlight w:val="none"/>
          <w:lang w:eastAsia="zh-CN"/>
        </w:rPr>
        <w:t>,</w:t>
      </w:r>
      <w:r>
        <w:rPr>
          <w:rFonts w:ascii="Times New Roman" w:hAnsi="Times New Roman" w:eastAsia="宋体"/>
          <w:sz w:val="24"/>
          <w:szCs w:val="24"/>
          <w:highlight w:val="none"/>
          <w:lang w:eastAsia="zh-CN"/>
        </w:rPr>
        <w:t>并向委托人提交继任人员的资格、管理经验等资料。项目负责人的更换，应按照本章第</w:t>
      </w:r>
      <w:r>
        <w:rPr>
          <w:rFonts w:ascii="Times New Roman" w:hAnsi="Times New Roman"/>
          <w:sz w:val="24"/>
          <w:szCs w:val="24"/>
          <w:highlight w:val="none"/>
          <w:lang w:eastAsia="zh-CN"/>
        </w:rPr>
        <w:t>4.5.1</w:t>
      </w:r>
      <w:r>
        <w:rPr>
          <w:rFonts w:ascii="Times New Roman" w:hAnsi="Times New Roman" w:eastAsia="宋体"/>
          <w:sz w:val="24"/>
          <w:szCs w:val="24"/>
          <w:highlight w:val="none"/>
          <w:lang w:eastAsia="zh-CN"/>
        </w:rPr>
        <w:t>项规定执行。</w:t>
      </w:r>
      <w:bookmarkEnd w:id="396"/>
    </w:p>
    <w:p>
      <w:pPr>
        <w:pStyle w:val="11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4.6.2</w:t>
      </w:r>
      <w:r>
        <w:rPr>
          <w:rFonts w:ascii="Times New Roman" w:hAnsi="Times New Roman" w:eastAsia="宋体"/>
          <w:spacing w:val="1"/>
          <w:sz w:val="24"/>
          <w:szCs w:val="24"/>
          <w:highlight w:val="none"/>
          <w:lang w:eastAsia="zh-CN"/>
        </w:rPr>
        <w:t>除专用合同条款另有约定外，主要</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人员包括项目负责人、专业负责人、审核人、</w:t>
      </w:r>
      <w:r>
        <w:rPr>
          <w:rFonts w:ascii="Times New Roman" w:hAnsi="Times New Roman" w:eastAsia="宋体"/>
          <w:sz w:val="24"/>
          <w:szCs w:val="24"/>
          <w:highlight w:val="none"/>
          <w:lang w:eastAsia="zh-CN"/>
        </w:rPr>
        <w:t>审定人等；其他人员包括各专业的</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员、管理人员等。</w:t>
      </w:r>
    </w:p>
    <w:p>
      <w:pPr>
        <w:pStyle w:val="11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4.6.3</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应保证其主要</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员（含分包人）在合同期限内的任何时候，都能按时参加</w:t>
      </w:r>
      <w:r>
        <w:rPr>
          <w:rFonts w:ascii="Times New Roman" w:hAnsi="Times New Roman" w:eastAsia="宋体"/>
          <w:sz w:val="24"/>
          <w:szCs w:val="24"/>
          <w:highlight w:val="none"/>
          <w:lang w:eastAsia="zh-CN"/>
        </w:rPr>
        <w:t>委托人组织的工作会议。</w:t>
      </w:r>
    </w:p>
    <w:p>
      <w:pPr>
        <w:pStyle w:val="11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4.6.4</w:t>
      </w:r>
      <w:r>
        <w:rPr>
          <w:rFonts w:ascii="Times New Roman" w:hAnsi="Times New Roman" w:eastAsia="宋体"/>
          <w:spacing w:val="1"/>
          <w:sz w:val="24"/>
          <w:szCs w:val="24"/>
          <w:highlight w:val="none"/>
          <w:lang w:eastAsia="zh-CN"/>
        </w:rPr>
        <w:t>国家规定应当持证上岗的工作人员均应持有相应的资格证明，委托人有权随时检查。</w:t>
      </w:r>
      <w:r>
        <w:rPr>
          <w:rFonts w:ascii="Times New Roman" w:hAnsi="Times New Roman" w:eastAsia="宋体"/>
          <w:sz w:val="24"/>
          <w:szCs w:val="24"/>
          <w:highlight w:val="none"/>
          <w:lang w:eastAsia="zh-CN"/>
        </w:rPr>
        <w:t>委托人认为有必要时，可以进行现场考核。</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397" w:name="_Toc28059"/>
      <w:bookmarkStart w:id="398" w:name="_Toc506006091"/>
      <w:bookmarkStart w:id="399" w:name="_Toc508200371"/>
      <w:bookmarkStart w:id="400" w:name="_Toc508201308"/>
      <w:bookmarkStart w:id="401" w:name="_Toc2620"/>
      <w:r>
        <w:rPr>
          <w:rFonts w:ascii="Times New Roman" w:hAnsi="Times New Roman" w:eastAsia="黑体"/>
          <w:sz w:val="28"/>
          <w:szCs w:val="21"/>
          <w:highlight w:val="none"/>
          <w:lang w:eastAsia="zh-CN"/>
        </w:rPr>
        <w:t>4.7 撤换项目负责人和其他人员</w:t>
      </w:r>
      <w:bookmarkEnd w:id="397"/>
      <w:bookmarkEnd w:id="398"/>
      <w:bookmarkEnd w:id="399"/>
      <w:bookmarkEnd w:id="400"/>
      <w:bookmarkEnd w:id="401"/>
    </w:p>
    <w:p>
      <w:pPr>
        <w:pStyle w:val="117"/>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服务人应对其项目负责人和其他人员进行有效管理。委托人要求撤换不能胜任本职工作、</w:t>
      </w:r>
      <w:r>
        <w:rPr>
          <w:rFonts w:ascii="Times New Roman" w:hAnsi="Times New Roman" w:eastAsia="宋体"/>
          <w:sz w:val="24"/>
          <w:szCs w:val="24"/>
          <w:highlight w:val="none"/>
          <w:lang w:eastAsia="zh-CN"/>
        </w:rPr>
        <w:t>行为不端或玩忽职守的项目负责人和其他人员的，</w:t>
      </w:r>
      <w:r>
        <w:rPr>
          <w:rFonts w:hint="eastAsia" w:ascii="Times New Roman" w:hAnsi="Times New Roman" w:eastAsia="宋体"/>
          <w:sz w:val="24"/>
          <w:szCs w:val="24"/>
          <w:highlight w:val="none"/>
          <w:lang w:eastAsia="zh-CN"/>
        </w:rPr>
        <w:t>服务人应予以撤换。</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02" w:name="_Toc506006092"/>
      <w:bookmarkStart w:id="403" w:name="_Toc13464"/>
      <w:bookmarkStart w:id="404" w:name="_Toc508200372"/>
      <w:bookmarkStart w:id="405" w:name="_Toc25327"/>
      <w:bookmarkStart w:id="406" w:name="_Toc508201309"/>
      <w:r>
        <w:rPr>
          <w:rFonts w:ascii="Times New Roman" w:hAnsi="Times New Roman" w:eastAsia="黑体"/>
          <w:sz w:val="28"/>
          <w:szCs w:val="21"/>
          <w:highlight w:val="none"/>
          <w:lang w:eastAsia="zh-CN"/>
        </w:rPr>
        <w:t>4.8 保障人员的合法权益</w:t>
      </w:r>
      <w:bookmarkEnd w:id="402"/>
      <w:bookmarkEnd w:id="403"/>
      <w:bookmarkEnd w:id="404"/>
      <w:bookmarkEnd w:id="405"/>
      <w:bookmarkEnd w:id="406"/>
    </w:p>
    <w:p>
      <w:pPr>
        <w:pStyle w:val="11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4.8.1</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应与其雇用的人员签订劳动合同，并按时发放工资。</w:t>
      </w:r>
    </w:p>
    <w:p>
      <w:pPr>
        <w:pStyle w:val="11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4.8.2</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应按劳动法的规定安排工作时间，保证其雇</w:t>
      </w:r>
      <w:r>
        <w:rPr>
          <w:rFonts w:ascii="Times New Roman" w:hAnsi="Times New Roman" w:eastAsia="宋体"/>
          <w:sz w:val="24"/>
          <w:szCs w:val="24"/>
          <w:highlight w:val="none"/>
          <w:lang w:eastAsia="zh-CN"/>
        </w:rPr>
        <w:t>用</w:t>
      </w:r>
      <w:r>
        <w:rPr>
          <w:rFonts w:ascii="Times New Roman" w:hAnsi="Times New Roman" w:eastAsia="宋体"/>
          <w:spacing w:val="-2"/>
          <w:sz w:val="24"/>
          <w:szCs w:val="24"/>
          <w:highlight w:val="none"/>
          <w:lang w:eastAsia="zh-CN"/>
        </w:rPr>
        <w:t>人员享有休息和休假的权利。因</w:t>
      </w:r>
      <w:r>
        <w:rPr>
          <w:rFonts w:ascii="Times New Roman" w:hAnsi="Times New Roman" w:eastAsia="宋体"/>
          <w:spacing w:val="1"/>
          <w:sz w:val="24"/>
          <w:szCs w:val="24"/>
          <w:highlight w:val="none"/>
          <w:lang w:eastAsia="zh-CN"/>
        </w:rPr>
        <w:t>服务需要占用休假日或延长工作时间的，应不超过法律规定的限度，并按法律规定给予补休或付酬。</w:t>
      </w:r>
    </w:p>
    <w:p>
      <w:pPr>
        <w:pStyle w:val="11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4.8.3</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应按有关法律规定和合同约定，为其雇用人员办理保险。</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07" w:name="_Toc17124"/>
      <w:bookmarkStart w:id="408" w:name="_Toc21618"/>
      <w:bookmarkStart w:id="409" w:name="_Toc508201310"/>
      <w:bookmarkStart w:id="410" w:name="_Toc508200373"/>
      <w:bookmarkStart w:id="411" w:name="_Toc506006093"/>
      <w:r>
        <w:rPr>
          <w:rFonts w:ascii="Times New Roman" w:hAnsi="Times New Roman" w:eastAsia="黑体"/>
          <w:sz w:val="28"/>
          <w:szCs w:val="21"/>
          <w:highlight w:val="none"/>
          <w:lang w:eastAsia="zh-CN"/>
        </w:rPr>
        <w:t>4.9 合同价款应专款专用</w:t>
      </w:r>
      <w:bookmarkEnd w:id="407"/>
      <w:bookmarkEnd w:id="408"/>
      <w:bookmarkEnd w:id="409"/>
      <w:bookmarkEnd w:id="410"/>
      <w:bookmarkEnd w:id="411"/>
    </w:p>
    <w:p>
      <w:pPr>
        <w:pStyle w:val="11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eastAsia="宋体"/>
          <w:sz w:val="24"/>
          <w:szCs w:val="24"/>
          <w:highlight w:val="none"/>
          <w:lang w:eastAsia="zh-CN"/>
        </w:rPr>
        <w:t>委托人按合同约定支付给</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的各项价款，应专用于合同服务工作。</w:t>
      </w:r>
    </w:p>
    <w:p>
      <w:pPr>
        <w:pStyle w:val="107"/>
        <w:spacing w:before="260" w:after="260" w:line="440" w:lineRule="atLeast"/>
        <w:rPr>
          <w:rFonts w:ascii="Times New Roman" w:hAnsi="Times New Roman" w:eastAsia="黑体"/>
          <w:b/>
          <w:spacing w:val="1"/>
          <w:sz w:val="32"/>
          <w:szCs w:val="32"/>
          <w:highlight w:val="none"/>
          <w:lang w:eastAsia="zh-CN"/>
        </w:rPr>
      </w:pPr>
      <w:bookmarkStart w:id="412" w:name="_Toc508201311"/>
      <w:bookmarkStart w:id="413" w:name="_Toc506006094"/>
      <w:bookmarkStart w:id="414" w:name="_Toc28908"/>
      <w:bookmarkStart w:id="415" w:name="_Toc513817605"/>
      <w:bookmarkStart w:id="416" w:name="_Toc508200374"/>
      <w:bookmarkStart w:id="417" w:name="_Toc27334"/>
      <w:r>
        <w:rPr>
          <w:rFonts w:ascii="Times New Roman" w:hAnsi="Times New Roman" w:eastAsia="黑体"/>
          <w:b/>
          <w:spacing w:val="1"/>
          <w:sz w:val="32"/>
          <w:szCs w:val="32"/>
          <w:highlight w:val="none"/>
          <w:lang w:eastAsia="zh-CN"/>
        </w:rPr>
        <w:t>5. 服务要求</w:t>
      </w:r>
      <w:bookmarkEnd w:id="412"/>
      <w:bookmarkEnd w:id="413"/>
      <w:bookmarkEnd w:id="414"/>
      <w:bookmarkEnd w:id="415"/>
      <w:bookmarkEnd w:id="416"/>
      <w:bookmarkEnd w:id="417"/>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18" w:name="_Toc3617"/>
      <w:bookmarkStart w:id="419" w:name="_Toc508201312"/>
      <w:bookmarkStart w:id="420" w:name="_Toc508200375"/>
      <w:bookmarkStart w:id="421" w:name="_Toc506006095"/>
      <w:bookmarkStart w:id="422" w:name="_Toc5117"/>
      <w:r>
        <w:rPr>
          <w:rFonts w:ascii="Times New Roman" w:hAnsi="Times New Roman" w:eastAsia="黑体"/>
          <w:sz w:val="28"/>
          <w:szCs w:val="21"/>
          <w:highlight w:val="none"/>
          <w:lang w:eastAsia="zh-CN"/>
        </w:rPr>
        <w:t>5.1 一般要求</w:t>
      </w:r>
      <w:bookmarkEnd w:id="418"/>
      <w:bookmarkEnd w:id="419"/>
      <w:bookmarkEnd w:id="420"/>
      <w:bookmarkEnd w:id="421"/>
      <w:bookmarkEnd w:id="422"/>
    </w:p>
    <w:p>
      <w:pPr>
        <w:pStyle w:val="11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5.1.1</w:t>
      </w:r>
      <w:r>
        <w:rPr>
          <w:rFonts w:ascii="Times New Roman" w:hAnsi="Times New Roman" w:eastAsia="宋体"/>
          <w:spacing w:val="1"/>
          <w:sz w:val="24"/>
          <w:szCs w:val="24"/>
          <w:highlight w:val="none"/>
          <w:lang w:eastAsia="zh-CN"/>
        </w:rPr>
        <w:t>委托人应当遵守法律和规范标准，不得以任何理由要求</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违反法律和工程质量、</w:t>
      </w:r>
      <w:r>
        <w:rPr>
          <w:rFonts w:ascii="Times New Roman" w:hAnsi="Times New Roman" w:eastAsia="宋体"/>
          <w:sz w:val="24"/>
          <w:szCs w:val="24"/>
          <w:highlight w:val="none"/>
          <w:lang w:eastAsia="zh-CN"/>
        </w:rPr>
        <w:t>安全标准、环保标准进行服务，降低工程质量。</w:t>
      </w:r>
    </w:p>
    <w:p>
      <w:pPr>
        <w:pStyle w:val="11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5.1.2</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应按照法律规定，以及国家、行业和地方的规范和标准完成</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工作，并应符</w:t>
      </w:r>
      <w:r>
        <w:rPr>
          <w:rFonts w:ascii="Times New Roman" w:hAnsi="Times New Roman" w:eastAsia="宋体"/>
          <w:spacing w:val="1"/>
          <w:sz w:val="24"/>
          <w:szCs w:val="24"/>
          <w:highlight w:val="none"/>
          <w:lang w:eastAsia="zh-CN"/>
        </w:rPr>
        <w:t>合委托人要求。各项规范、标准和委托人要求之间如对同一内容的描述不一致时，应以描述更</w:t>
      </w:r>
      <w:r>
        <w:rPr>
          <w:rFonts w:ascii="Times New Roman" w:hAnsi="Times New Roman" w:eastAsia="宋体"/>
          <w:sz w:val="24"/>
          <w:szCs w:val="24"/>
          <w:highlight w:val="none"/>
          <w:lang w:eastAsia="zh-CN"/>
        </w:rPr>
        <w:t>为严格的内容为准。</w:t>
      </w:r>
    </w:p>
    <w:p>
      <w:pPr>
        <w:pStyle w:val="11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5.1.3</w:t>
      </w:r>
      <w:r>
        <w:rPr>
          <w:rFonts w:ascii="Times New Roman" w:hAnsi="Times New Roman" w:eastAsia="宋体"/>
          <w:spacing w:val="1"/>
          <w:sz w:val="24"/>
          <w:szCs w:val="24"/>
          <w:highlight w:val="none"/>
          <w:lang w:eastAsia="zh-CN"/>
        </w:rPr>
        <w:t>除专用合同条款另有约定外，</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完成</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工作所应遵守的法律规定，以及国家、行业和地方的规范和标准，均应视为在基准日适用的版本。基准日之后，前述版本发生重大变化，或者有新的法律，以及国家、行业和地方的规范和标准实施的，</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应向委托人提出遵</w:t>
      </w:r>
      <w:r>
        <w:rPr>
          <w:rFonts w:ascii="Times New Roman" w:hAnsi="Times New Roman" w:eastAsia="宋体"/>
          <w:sz w:val="24"/>
          <w:szCs w:val="24"/>
          <w:highlight w:val="none"/>
          <w:lang w:eastAsia="zh-CN"/>
        </w:rPr>
        <w:t>守新规定的建议。委托人应在收到建议后</w:t>
      </w:r>
      <w:r>
        <w:rPr>
          <w:rFonts w:ascii="Times New Roman" w:hAnsi="Times New Roman"/>
          <w:sz w:val="24"/>
          <w:szCs w:val="24"/>
          <w:highlight w:val="none"/>
          <w:lang w:eastAsia="zh-CN"/>
        </w:rPr>
        <w:t>7</w:t>
      </w:r>
      <w:r>
        <w:rPr>
          <w:rFonts w:ascii="Times New Roman" w:hAnsi="Times New Roman" w:eastAsia="宋体"/>
          <w:sz w:val="24"/>
          <w:szCs w:val="24"/>
          <w:highlight w:val="none"/>
          <w:lang w:eastAsia="zh-CN"/>
        </w:rPr>
        <w:t>天内发出是否遵守新规定的指示。委托人指示遵守新规定的，按照第</w:t>
      </w:r>
      <w:r>
        <w:rPr>
          <w:rFonts w:ascii="Times New Roman" w:hAnsi="Times New Roman"/>
          <w:spacing w:val="-7"/>
          <w:sz w:val="24"/>
          <w:szCs w:val="24"/>
          <w:highlight w:val="none"/>
          <w:lang w:eastAsia="zh-CN"/>
        </w:rPr>
        <w:t>11</w:t>
      </w:r>
      <w:r>
        <w:rPr>
          <w:rFonts w:ascii="Times New Roman" w:hAnsi="Times New Roman" w:eastAsia="宋体"/>
          <w:sz w:val="24"/>
          <w:szCs w:val="24"/>
          <w:highlight w:val="none"/>
          <w:lang w:eastAsia="zh-CN"/>
        </w:rPr>
        <w:t>条约定执行。</w:t>
      </w:r>
    </w:p>
    <w:p>
      <w:pPr>
        <w:pStyle w:val="11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5.1.4</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在</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中选用的材料、设备，应当注明其规格、型号、性能等技术指标及</w:t>
      </w:r>
      <w:r>
        <w:rPr>
          <w:rFonts w:ascii="Times New Roman" w:hAnsi="Times New Roman" w:eastAsia="宋体"/>
          <w:sz w:val="24"/>
          <w:szCs w:val="24"/>
          <w:highlight w:val="none"/>
          <w:lang w:eastAsia="zh-CN"/>
        </w:rPr>
        <w:t>适应性，满足质量、安全、节能、环保等要求。</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23" w:name="_Toc506006096"/>
      <w:bookmarkStart w:id="424" w:name="_Toc508200376"/>
      <w:bookmarkStart w:id="425" w:name="_Toc508201313"/>
      <w:bookmarkStart w:id="426" w:name="_Toc15232"/>
      <w:bookmarkStart w:id="427" w:name="_Toc15414"/>
      <w:r>
        <w:rPr>
          <w:rFonts w:ascii="Times New Roman" w:hAnsi="Times New Roman" w:eastAsia="黑体"/>
          <w:sz w:val="28"/>
          <w:szCs w:val="21"/>
          <w:highlight w:val="none"/>
          <w:lang w:eastAsia="zh-CN"/>
        </w:rPr>
        <w:t xml:space="preserve">5.2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依据</w:t>
      </w:r>
      <w:bookmarkEnd w:id="423"/>
      <w:bookmarkEnd w:id="424"/>
      <w:bookmarkEnd w:id="425"/>
      <w:bookmarkEnd w:id="426"/>
      <w:bookmarkEnd w:id="427"/>
    </w:p>
    <w:p>
      <w:pPr>
        <w:pStyle w:val="11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eastAsia="宋体"/>
          <w:sz w:val="24"/>
          <w:szCs w:val="24"/>
          <w:highlight w:val="none"/>
          <w:lang w:eastAsia="zh-CN"/>
        </w:rPr>
        <w:t>除专用合同条款另有约定外，本工程的</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依据如下：</w:t>
      </w:r>
    </w:p>
    <w:p>
      <w:pPr>
        <w:pStyle w:val="11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）适用的法律、行政法规及部门规章；</w:t>
      </w:r>
    </w:p>
    <w:p>
      <w:pPr>
        <w:pStyle w:val="11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）相关的规范、标准、规程；</w:t>
      </w:r>
    </w:p>
    <w:p>
      <w:pPr>
        <w:pStyle w:val="11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3</w:t>
      </w:r>
      <w:r>
        <w:rPr>
          <w:rFonts w:ascii="Times New Roman" w:hAnsi="Times New Roman" w:eastAsia="宋体"/>
          <w:sz w:val="24"/>
          <w:szCs w:val="24"/>
          <w:highlight w:val="none"/>
          <w:lang w:eastAsia="zh-CN"/>
        </w:rPr>
        <w:t>）基础资料及其他文件；</w:t>
      </w:r>
    </w:p>
    <w:p>
      <w:pPr>
        <w:pStyle w:val="118"/>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w:t>
      </w:r>
      <w:r>
        <w:rPr>
          <w:rFonts w:ascii="Times New Roman" w:hAnsi="Times New Roman" w:eastAsia="宋体"/>
          <w:sz w:val="24"/>
          <w:szCs w:val="24"/>
          <w:highlight w:val="none"/>
          <w:lang w:eastAsia="zh-CN"/>
        </w:rPr>
        <w:t>4）</w:t>
      </w:r>
      <w:r>
        <w:rPr>
          <w:rFonts w:hint="eastAsia" w:ascii="Times New Roman" w:hAnsi="Times New Roman" w:eastAsia="宋体"/>
          <w:sz w:val="24"/>
          <w:szCs w:val="24"/>
          <w:highlight w:val="none"/>
          <w:lang w:eastAsia="zh-CN"/>
        </w:rPr>
        <w:t>本服务合同及补充合同（如有）</w:t>
      </w:r>
      <w:r>
        <w:rPr>
          <w:rFonts w:ascii="Times New Roman" w:hAnsi="Times New Roman" w:eastAsia="宋体"/>
          <w:sz w:val="24"/>
          <w:szCs w:val="24"/>
          <w:highlight w:val="none"/>
          <w:lang w:eastAsia="zh-CN"/>
        </w:rPr>
        <w:t>；</w:t>
      </w:r>
    </w:p>
    <w:p>
      <w:pPr>
        <w:pStyle w:val="11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5</w:t>
      </w:r>
      <w:r>
        <w:rPr>
          <w:rFonts w:ascii="Times New Roman" w:hAnsi="Times New Roman" w:eastAsia="宋体"/>
          <w:sz w:val="24"/>
          <w:szCs w:val="24"/>
          <w:highlight w:val="none"/>
          <w:lang w:eastAsia="zh-CN"/>
        </w:rPr>
        <w:t>）本工程前期成果文件；</w:t>
      </w:r>
    </w:p>
    <w:p>
      <w:pPr>
        <w:pStyle w:val="11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6</w:t>
      </w:r>
      <w:r>
        <w:rPr>
          <w:rFonts w:ascii="Times New Roman" w:hAnsi="Times New Roman" w:eastAsia="宋体"/>
          <w:sz w:val="24"/>
          <w:szCs w:val="24"/>
          <w:highlight w:val="none"/>
          <w:lang w:eastAsia="zh-CN"/>
        </w:rPr>
        <w:t>）合同履行中与</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有关的来往函件；</w:t>
      </w:r>
    </w:p>
    <w:p>
      <w:pPr>
        <w:pStyle w:val="11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7</w:t>
      </w:r>
      <w:r>
        <w:rPr>
          <w:rFonts w:ascii="Times New Roman" w:hAnsi="Times New Roman" w:eastAsia="宋体"/>
          <w:sz w:val="24"/>
          <w:szCs w:val="24"/>
          <w:highlight w:val="none"/>
          <w:lang w:eastAsia="zh-CN"/>
        </w:rPr>
        <w:t>）其他</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依据。</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28" w:name="_Toc2624"/>
      <w:bookmarkStart w:id="429" w:name="_Toc508201314"/>
      <w:bookmarkStart w:id="430" w:name="_Toc506006097"/>
      <w:bookmarkStart w:id="431" w:name="_Toc508200377"/>
      <w:bookmarkStart w:id="432" w:name="_Toc18425"/>
      <w:r>
        <w:rPr>
          <w:rFonts w:ascii="Times New Roman" w:hAnsi="Times New Roman" w:eastAsia="黑体"/>
          <w:sz w:val="28"/>
          <w:szCs w:val="21"/>
          <w:highlight w:val="none"/>
          <w:lang w:eastAsia="zh-CN"/>
        </w:rPr>
        <w:t xml:space="preserve">5.3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范围</w:t>
      </w:r>
      <w:bookmarkEnd w:id="428"/>
      <w:bookmarkEnd w:id="429"/>
      <w:bookmarkEnd w:id="430"/>
      <w:bookmarkEnd w:id="431"/>
      <w:bookmarkEnd w:id="432"/>
    </w:p>
    <w:p>
      <w:pPr>
        <w:pStyle w:val="118"/>
        <w:spacing w:before="0" w:after="0" w:line="440" w:lineRule="atLeast"/>
        <w:ind w:firstLine="472" w:firstLineChars="200"/>
        <w:rPr>
          <w:rFonts w:ascii="Times New Roman" w:hAnsi="Times New Roman"/>
          <w:sz w:val="24"/>
          <w:szCs w:val="24"/>
          <w:highlight w:val="none"/>
          <w:lang w:eastAsia="zh-CN"/>
        </w:rPr>
      </w:pPr>
      <w:r>
        <w:rPr>
          <w:rFonts w:ascii="Times New Roman" w:hAnsi="Times New Roman" w:eastAsia="宋体"/>
          <w:spacing w:val="-2"/>
          <w:sz w:val="24"/>
          <w:szCs w:val="24"/>
          <w:highlight w:val="none"/>
          <w:lang w:eastAsia="zh-CN"/>
        </w:rPr>
        <w:t>本合同的</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范围</w:t>
      </w:r>
      <w:r>
        <w:rPr>
          <w:rFonts w:ascii="Times New Roman" w:hAnsi="Times New Roman" w:eastAsia="宋体"/>
          <w:sz w:val="24"/>
          <w:szCs w:val="24"/>
          <w:highlight w:val="none"/>
          <w:lang w:eastAsia="zh-CN"/>
        </w:rPr>
        <w:t>具体范围在专用合同条款中约定。</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33" w:name="_Toc506006098"/>
      <w:bookmarkStart w:id="434" w:name="_Toc1884"/>
      <w:bookmarkStart w:id="435" w:name="_Toc508200378"/>
      <w:bookmarkStart w:id="436" w:name="_Toc10193"/>
      <w:bookmarkStart w:id="437" w:name="_Toc508201315"/>
      <w:r>
        <w:rPr>
          <w:rFonts w:ascii="Times New Roman" w:hAnsi="Times New Roman" w:eastAsia="黑体"/>
          <w:sz w:val="28"/>
          <w:szCs w:val="21"/>
          <w:highlight w:val="none"/>
          <w:lang w:eastAsia="zh-CN"/>
        </w:rPr>
        <w:t xml:space="preserve">5.4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成果文件要求</w:t>
      </w:r>
      <w:bookmarkEnd w:id="433"/>
      <w:bookmarkEnd w:id="434"/>
      <w:bookmarkEnd w:id="435"/>
      <w:bookmarkEnd w:id="436"/>
      <w:bookmarkEnd w:id="437"/>
    </w:p>
    <w:p>
      <w:pPr>
        <w:pStyle w:val="11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5.4.1</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成果文件的编制应符合法律法规、规范标准的强制性规定和委托人要求，</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依</w:t>
      </w:r>
      <w:r>
        <w:rPr>
          <w:rFonts w:ascii="Times New Roman" w:hAnsi="Times New Roman" w:eastAsia="宋体"/>
          <w:sz w:val="24"/>
          <w:szCs w:val="24"/>
          <w:highlight w:val="none"/>
          <w:lang w:eastAsia="zh-CN"/>
        </w:rPr>
        <w:t>据应完整、准确、可靠，</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方案论证充分，计算成果规范可靠，并能够实施。</w:t>
      </w:r>
    </w:p>
    <w:p>
      <w:pPr>
        <w:pStyle w:val="11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5.4.2</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应当根据法律、规范标准和委托人要求，并</w:t>
      </w:r>
      <w:r>
        <w:rPr>
          <w:rFonts w:ascii="Times New Roman" w:hAnsi="Times New Roman" w:eastAsia="宋体"/>
          <w:sz w:val="24"/>
          <w:szCs w:val="24"/>
          <w:highlight w:val="none"/>
          <w:lang w:eastAsia="zh-CN"/>
        </w:rPr>
        <w:t>在</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成果文件中予以注明。</w:t>
      </w:r>
    </w:p>
    <w:p>
      <w:pPr>
        <w:pStyle w:val="11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5.4.3</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成果文件的深度应满足本合同相应</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阶段的规定要求，满足委托人的下步工作需要，</w:t>
      </w:r>
      <w:r>
        <w:rPr>
          <w:rFonts w:ascii="Times New Roman" w:hAnsi="Times New Roman" w:eastAsia="宋体"/>
          <w:sz w:val="24"/>
          <w:szCs w:val="24"/>
          <w:highlight w:val="none"/>
          <w:lang w:eastAsia="zh-CN"/>
        </w:rPr>
        <w:t>并应符合国家和行业现行规定。</w:t>
      </w:r>
    </w:p>
    <w:p>
      <w:pPr>
        <w:pStyle w:val="107"/>
        <w:spacing w:before="260" w:after="260" w:line="440" w:lineRule="atLeast"/>
        <w:rPr>
          <w:rFonts w:ascii="Times New Roman" w:hAnsi="Times New Roman" w:eastAsia="黑体"/>
          <w:b/>
          <w:spacing w:val="1"/>
          <w:sz w:val="32"/>
          <w:szCs w:val="32"/>
          <w:highlight w:val="none"/>
          <w:lang w:eastAsia="zh-CN"/>
        </w:rPr>
      </w:pPr>
      <w:bookmarkStart w:id="438" w:name="_Toc506006099"/>
      <w:bookmarkStart w:id="439" w:name="_Toc508201316"/>
      <w:bookmarkStart w:id="440" w:name="_Toc25760"/>
      <w:bookmarkStart w:id="441" w:name="_Toc29471"/>
      <w:bookmarkStart w:id="442" w:name="_Toc513817606"/>
      <w:bookmarkStart w:id="443" w:name="_Toc508200379"/>
      <w:r>
        <w:rPr>
          <w:rFonts w:ascii="Times New Roman" w:hAnsi="Times New Roman" w:eastAsia="黑体"/>
          <w:b/>
          <w:spacing w:val="1"/>
          <w:sz w:val="32"/>
          <w:szCs w:val="32"/>
          <w:highlight w:val="none"/>
          <w:lang w:eastAsia="zh-CN"/>
        </w:rPr>
        <w:t>6. 开始</w:t>
      </w:r>
      <w:r>
        <w:rPr>
          <w:rFonts w:hint="eastAsia" w:ascii="Times New Roman" w:hAnsi="Times New Roman" w:eastAsia="黑体"/>
          <w:b/>
          <w:spacing w:val="1"/>
          <w:sz w:val="32"/>
          <w:szCs w:val="32"/>
          <w:highlight w:val="none"/>
          <w:lang w:eastAsia="zh-CN"/>
        </w:rPr>
        <w:t>服务</w:t>
      </w:r>
      <w:r>
        <w:rPr>
          <w:rFonts w:ascii="Times New Roman" w:hAnsi="Times New Roman" w:eastAsia="黑体"/>
          <w:b/>
          <w:spacing w:val="1"/>
          <w:sz w:val="32"/>
          <w:szCs w:val="32"/>
          <w:highlight w:val="none"/>
          <w:lang w:eastAsia="zh-CN"/>
        </w:rPr>
        <w:t>和完成</w:t>
      </w:r>
      <w:bookmarkEnd w:id="438"/>
      <w:bookmarkEnd w:id="439"/>
      <w:bookmarkEnd w:id="440"/>
      <w:bookmarkEnd w:id="441"/>
      <w:bookmarkEnd w:id="442"/>
      <w:bookmarkEnd w:id="443"/>
      <w:r>
        <w:rPr>
          <w:rFonts w:hint="eastAsia" w:ascii="Times New Roman" w:hAnsi="Times New Roman" w:eastAsia="黑体"/>
          <w:b/>
          <w:spacing w:val="1"/>
          <w:sz w:val="32"/>
          <w:szCs w:val="32"/>
          <w:highlight w:val="none"/>
          <w:lang w:eastAsia="zh-CN"/>
        </w:rPr>
        <w:t>服务</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44" w:name="_Toc5347"/>
      <w:bookmarkStart w:id="445" w:name="_Toc508200380"/>
      <w:bookmarkStart w:id="446" w:name="_Toc506006100"/>
      <w:bookmarkStart w:id="447" w:name="_Toc31807"/>
      <w:bookmarkStart w:id="448" w:name="_Toc508201317"/>
      <w:r>
        <w:rPr>
          <w:rFonts w:ascii="Times New Roman" w:hAnsi="Times New Roman" w:eastAsia="黑体"/>
          <w:sz w:val="28"/>
          <w:szCs w:val="21"/>
          <w:highlight w:val="none"/>
          <w:lang w:eastAsia="zh-CN"/>
        </w:rPr>
        <w:t>6.1 开始</w:t>
      </w:r>
      <w:bookmarkEnd w:id="444"/>
      <w:bookmarkEnd w:id="445"/>
      <w:bookmarkEnd w:id="446"/>
      <w:bookmarkEnd w:id="447"/>
      <w:bookmarkEnd w:id="448"/>
      <w:r>
        <w:rPr>
          <w:rFonts w:hint="eastAsia" w:ascii="Times New Roman" w:hAnsi="Times New Roman" w:eastAsia="黑体"/>
          <w:sz w:val="28"/>
          <w:szCs w:val="21"/>
          <w:highlight w:val="none"/>
          <w:lang w:eastAsia="zh-CN"/>
        </w:rPr>
        <w:t>服务</w:t>
      </w:r>
    </w:p>
    <w:p>
      <w:pPr>
        <w:pStyle w:val="11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6.1.1</w:t>
      </w:r>
      <w:r>
        <w:rPr>
          <w:rFonts w:ascii="Times New Roman" w:hAnsi="Times New Roman" w:eastAsia="宋体"/>
          <w:spacing w:val="-1"/>
          <w:sz w:val="24"/>
          <w:szCs w:val="24"/>
          <w:highlight w:val="none"/>
          <w:lang w:eastAsia="zh-CN"/>
        </w:rPr>
        <w:t>符合专用合同条款约定的开始</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条件的，委托人应提前</w:t>
      </w:r>
      <w:r>
        <w:rPr>
          <w:rFonts w:ascii="Times New Roman" w:hAnsi="Times New Roman"/>
          <w:sz w:val="24"/>
          <w:szCs w:val="24"/>
          <w:highlight w:val="none"/>
          <w:lang w:eastAsia="zh-CN"/>
        </w:rPr>
        <w:t>7</w:t>
      </w:r>
      <w:r>
        <w:rPr>
          <w:rFonts w:ascii="Times New Roman" w:hAnsi="Times New Roman" w:eastAsia="宋体"/>
          <w:sz w:val="24"/>
          <w:szCs w:val="24"/>
          <w:highlight w:val="none"/>
          <w:lang w:eastAsia="zh-CN"/>
        </w:rPr>
        <w:t>天向</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发出开始</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通知。</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期限自开始</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通知中载明的开始</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日期起计算。</w:t>
      </w:r>
    </w:p>
    <w:p>
      <w:pPr>
        <w:pStyle w:val="11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6.1.2</w:t>
      </w:r>
      <w:r>
        <w:rPr>
          <w:rFonts w:ascii="Times New Roman" w:hAnsi="Times New Roman" w:eastAsia="宋体"/>
          <w:sz w:val="24"/>
          <w:szCs w:val="24"/>
          <w:highlight w:val="none"/>
          <w:lang w:eastAsia="zh-CN"/>
        </w:rPr>
        <w:t>除专用合同条款另有约定外，因委托人原因造成合同签订之日起</w:t>
      </w:r>
      <w:r>
        <w:rPr>
          <w:rFonts w:ascii="Times New Roman" w:hAnsi="Times New Roman"/>
          <w:spacing w:val="1"/>
          <w:sz w:val="24"/>
          <w:szCs w:val="24"/>
          <w:highlight w:val="none"/>
          <w:lang w:eastAsia="zh-CN"/>
        </w:rPr>
        <w:t>90</w:t>
      </w:r>
      <w:r>
        <w:rPr>
          <w:rFonts w:ascii="Times New Roman" w:hAnsi="Times New Roman" w:eastAsia="宋体"/>
          <w:sz w:val="24"/>
          <w:szCs w:val="24"/>
          <w:highlight w:val="none"/>
          <w:lang w:eastAsia="zh-CN"/>
        </w:rPr>
        <w:t>天内未能发出开</w:t>
      </w:r>
      <w:r>
        <w:rPr>
          <w:rFonts w:ascii="Times New Roman" w:hAnsi="Times New Roman" w:eastAsia="宋体"/>
          <w:spacing w:val="1"/>
          <w:sz w:val="24"/>
          <w:szCs w:val="24"/>
          <w:highlight w:val="none"/>
          <w:lang w:eastAsia="zh-CN"/>
        </w:rPr>
        <w:t>始</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通知的，</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有权提出价格调整要求，或者解除合同。委托人应当承担由此增加的费</w:t>
      </w:r>
      <w:r>
        <w:rPr>
          <w:rFonts w:ascii="Times New Roman" w:hAnsi="Times New Roman" w:eastAsia="宋体"/>
          <w:sz w:val="24"/>
          <w:szCs w:val="24"/>
          <w:highlight w:val="none"/>
          <w:lang w:eastAsia="zh-CN"/>
        </w:rPr>
        <w:t>用和（或）周期延误。</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49" w:name="_Toc6777"/>
      <w:bookmarkStart w:id="450" w:name="_Toc508200381"/>
      <w:bookmarkStart w:id="451" w:name="_Toc23828"/>
      <w:bookmarkStart w:id="452" w:name="_Toc506006101"/>
      <w:bookmarkStart w:id="453" w:name="_Toc508201318"/>
      <w:r>
        <w:rPr>
          <w:rFonts w:ascii="Times New Roman" w:hAnsi="Times New Roman" w:eastAsia="黑体"/>
          <w:sz w:val="28"/>
          <w:szCs w:val="21"/>
          <w:highlight w:val="none"/>
          <w:lang w:eastAsia="zh-CN"/>
        </w:rPr>
        <w:t>6.2 委托人引起的周期延误</w:t>
      </w:r>
      <w:bookmarkEnd w:id="449"/>
      <w:bookmarkEnd w:id="450"/>
      <w:bookmarkEnd w:id="451"/>
      <w:bookmarkEnd w:id="452"/>
      <w:bookmarkEnd w:id="453"/>
    </w:p>
    <w:p>
      <w:pPr>
        <w:pStyle w:val="119"/>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在履行合同过程中，由于委托人的下列原因造成</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期限延误的，委托人应当延长</w:t>
      </w:r>
      <w:r>
        <w:rPr>
          <w:rFonts w:hint="eastAsia" w:ascii="Times New Roman" w:hAnsi="Times New Roman" w:eastAsia="宋体"/>
          <w:spacing w:val="1"/>
          <w:sz w:val="24"/>
          <w:szCs w:val="24"/>
          <w:highlight w:val="none"/>
          <w:lang w:eastAsia="zh-CN"/>
        </w:rPr>
        <w:t>服务</w:t>
      </w:r>
      <w:r>
        <w:rPr>
          <w:rFonts w:ascii="Times New Roman" w:hAnsi="Times New Roman" w:eastAsia="宋体"/>
          <w:sz w:val="24"/>
          <w:szCs w:val="24"/>
          <w:highlight w:val="none"/>
          <w:lang w:eastAsia="zh-CN"/>
        </w:rPr>
        <w:t>期限并增加</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费用，具体方法在专用合同条款中约定。</w:t>
      </w:r>
    </w:p>
    <w:p>
      <w:pPr>
        <w:pStyle w:val="119"/>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）合同变更；</w:t>
      </w:r>
    </w:p>
    <w:p>
      <w:pPr>
        <w:pStyle w:val="119"/>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）未按合同约定期限及时答复</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事项；</w:t>
      </w:r>
    </w:p>
    <w:p>
      <w:pPr>
        <w:pStyle w:val="119"/>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3</w:t>
      </w:r>
      <w:r>
        <w:rPr>
          <w:rFonts w:ascii="Times New Roman" w:hAnsi="Times New Roman" w:eastAsia="宋体"/>
          <w:sz w:val="24"/>
          <w:szCs w:val="24"/>
          <w:highlight w:val="none"/>
          <w:lang w:eastAsia="zh-CN"/>
        </w:rPr>
        <w:t>）因委托人原因导致的暂停</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w:t>
      </w:r>
    </w:p>
    <w:p>
      <w:pPr>
        <w:pStyle w:val="120"/>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4</w:t>
      </w:r>
      <w:r>
        <w:rPr>
          <w:rFonts w:ascii="Times New Roman" w:hAnsi="Times New Roman" w:eastAsia="宋体"/>
          <w:sz w:val="24"/>
          <w:szCs w:val="24"/>
          <w:highlight w:val="none"/>
          <w:lang w:eastAsia="zh-CN"/>
        </w:rPr>
        <w:t>）未按合同约定及时支付</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费用；</w:t>
      </w:r>
    </w:p>
    <w:p>
      <w:pPr>
        <w:pStyle w:val="120"/>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5</w:t>
      </w:r>
      <w:r>
        <w:rPr>
          <w:rFonts w:ascii="Times New Roman" w:hAnsi="Times New Roman" w:eastAsia="宋体"/>
          <w:sz w:val="24"/>
          <w:szCs w:val="24"/>
          <w:highlight w:val="none"/>
          <w:lang w:eastAsia="zh-CN"/>
        </w:rPr>
        <w:t>）委托人提供的基准资料错误；</w:t>
      </w:r>
    </w:p>
    <w:p>
      <w:pPr>
        <w:pStyle w:val="120"/>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6</w:t>
      </w:r>
      <w:r>
        <w:rPr>
          <w:rFonts w:ascii="Times New Roman" w:hAnsi="Times New Roman" w:eastAsia="宋体"/>
          <w:sz w:val="24"/>
          <w:szCs w:val="24"/>
          <w:highlight w:val="none"/>
          <w:lang w:eastAsia="zh-CN"/>
        </w:rPr>
        <w:t>）未及时按照履行合同约定的相关义务；</w:t>
      </w:r>
    </w:p>
    <w:p>
      <w:pPr>
        <w:pStyle w:val="120"/>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7</w:t>
      </w:r>
      <w:r>
        <w:rPr>
          <w:rFonts w:ascii="Times New Roman" w:hAnsi="Times New Roman" w:eastAsia="宋体"/>
          <w:sz w:val="24"/>
          <w:szCs w:val="24"/>
          <w:highlight w:val="none"/>
          <w:lang w:eastAsia="zh-CN"/>
        </w:rPr>
        <w:t>）未能按照合同约定期限对</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成果文件进行审查；</w:t>
      </w:r>
    </w:p>
    <w:p>
      <w:pPr>
        <w:pStyle w:val="120"/>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8</w:t>
      </w:r>
      <w:r>
        <w:rPr>
          <w:rFonts w:ascii="Times New Roman" w:hAnsi="Times New Roman" w:eastAsia="宋体"/>
          <w:sz w:val="24"/>
          <w:szCs w:val="24"/>
          <w:highlight w:val="none"/>
          <w:lang w:eastAsia="zh-CN"/>
        </w:rPr>
        <w:t>）委托人造成周期延误的其他原因。</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54" w:name="_Toc508201319"/>
      <w:bookmarkStart w:id="455" w:name="_Toc506006102"/>
      <w:bookmarkStart w:id="456" w:name="_Toc10053"/>
      <w:bookmarkStart w:id="457" w:name="_Toc508200382"/>
      <w:bookmarkStart w:id="458" w:name="_Toc25002"/>
      <w:r>
        <w:rPr>
          <w:rFonts w:ascii="Times New Roman" w:hAnsi="Times New Roman" w:eastAsia="黑体"/>
          <w:sz w:val="28"/>
          <w:szCs w:val="21"/>
          <w:highlight w:val="none"/>
          <w:lang w:eastAsia="zh-CN"/>
        </w:rPr>
        <w:t xml:space="preserve">6.3 </w:t>
      </w:r>
      <w:r>
        <w:rPr>
          <w:rFonts w:hint="eastAsia" w:ascii="Times New Roman" w:hAnsi="Times New Roman" w:eastAsia="黑体"/>
          <w:sz w:val="28"/>
          <w:szCs w:val="21"/>
          <w:highlight w:val="none"/>
          <w:lang w:eastAsia="zh-CN"/>
        </w:rPr>
        <w:t>服务人</w:t>
      </w:r>
      <w:r>
        <w:rPr>
          <w:rFonts w:ascii="Times New Roman" w:hAnsi="Times New Roman" w:eastAsia="黑体"/>
          <w:sz w:val="28"/>
          <w:szCs w:val="21"/>
          <w:highlight w:val="none"/>
          <w:lang w:eastAsia="zh-CN"/>
        </w:rPr>
        <w:t>引起的周期延误</w:t>
      </w:r>
      <w:bookmarkEnd w:id="454"/>
      <w:bookmarkEnd w:id="455"/>
      <w:bookmarkEnd w:id="456"/>
      <w:bookmarkEnd w:id="457"/>
      <w:bookmarkEnd w:id="458"/>
    </w:p>
    <w:p>
      <w:pPr>
        <w:pStyle w:val="120"/>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由于</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原因造成周期延误，</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应支付逾期违约金。逾期违约金的计算方法和最高</w:t>
      </w:r>
      <w:r>
        <w:rPr>
          <w:rFonts w:ascii="Times New Roman" w:hAnsi="Times New Roman" w:eastAsia="宋体"/>
          <w:sz w:val="24"/>
          <w:szCs w:val="24"/>
          <w:highlight w:val="none"/>
          <w:lang w:eastAsia="zh-CN"/>
        </w:rPr>
        <w:t>限额在专用合同条款中约定。</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59" w:name="_Toc17957"/>
      <w:bookmarkStart w:id="460" w:name="_Toc19349"/>
      <w:bookmarkStart w:id="461" w:name="_Toc508201320"/>
      <w:bookmarkStart w:id="462" w:name="_Toc506006103"/>
      <w:bookmarkStart w:id="463" w:name="_Toc508200383"/>
      <w:r>
        <w:rPr>
          <w:rFonts w:ascii="Times New Roman" w:hAnsi="Times New Roman" w:eastAsia="黑体"/>
          <w:sz w:val="28"/>
          <w:szCs w:val="21"/>
          <w:highlight w:val="none"/>
          <w:lang w:eastAsia="zh-CN"/>
        </w:rPr>
        <w:t>6.4 第三人引起的周期延误</w:t>
      </w:r>
      <w:bookmarkEnd w:id="459"/>
      <w:bookmarkEnd w:id="460"/>
      <w:bookmarkEnd w:id="461"/>
      <w:bookmarkEnd w:id="462"/>
      <w:bookmarkEnd w:id="463"/>
    </w:p>
    <w:p>
      <w:pPr>
        <w:pStyle w:val="120"/>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由于行政管理部门审查或其他第三人原因造成费用增加和（或）周期延误的，由委托人承担。</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64" w:name="_Toc508201321"/>
      <w:bookmarkStart w:id="465" w:name="_Toc8192"/>
      <w:bookmarkStart w:id="466" w:name="_Toc508200384"/>
      <w:bookmarkStart w:id="467" w:name="_Toc506006104"/>
      <w:bookmarkStart w:id="468" w:name="_Toc32746"/>
      <w:r>
        <w:rPr>
          <w:rFonts w:ascii="Times New Roman" w:hAnsi="Times New Roman" w:eastAsia="黑体"/>
          <w:sz w:val="28"/>
          <w:szCs w:val="21"/>
          <w:highlight w:val="none"/>
          <w:lang w:eastAsia="zh-CN"/>
        </w:rPr>
        <w:t>6.5 完成</w:t>
      </w:r>
      <w:bookmarkEnd w:id="464"/>
      <w:bookmarkEnd w:id="465"/>
      <w:bookmarkEnd w:id="466"/>
      <w:bookmarkEnd w:id="467"/>
      <w:bookmarkEnd w:id="468"/>
      <w:r>
        <w:rPr>
          <w:rFonts w:hint="eastAsia" w:ascii="Times New Roman" w:hAnsi="Times New Roman" w:eastAsia="黑体"/>
          <w:sz w:val="28"/>
          <w:szCs w:val="21"/>
          <w:highlight w:val="none"/>
          <w:lang w:eastAsia="zh-CN"/>
        </w:rPr>
        <w:t>服务</w:t>
      </w:r>
    </w:p>
    <w:p>
      <w:pPr>
        <w:pStyle w:val="120"/>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6.5.1</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完成</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之后，应当根据法律、规范标准、合同约定和委托人要求提交</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w:t>
      </w:r>
      <w:r>
        <w:rPr>
          <w:rFonts w:ascii="Times New Roman" w:hAnsi="Times New Roman" w:eastAsia="宋体"/>
          <w:sz w:val="24"/>
          <w:szCs w:val="24"/>
          <w:highlight w:val="none"/>
          <w:lang w:eastAsia="zh-CN"/>
        </w:rPr>
        <w:t>。</w:t>
      </w:r>
    </w:p>
    <w:p>
      <w:pPr>
        <w:pStyle w:val="120"/>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6.5.2</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成果文件是工程</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的最终成果之一，应当根据本工程的</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内容和不</w:t>
      </w:r>
      <w:r>
        <w:rPr>
          <w:rFonts w:ascii="Times New Roman" w:hAnsi="Times New Roman" w:eastAsia="宋体"/>
          <w:spacing w:val="1"/>
          <w:sz w:val="24"/>
          <w:szCs w:val="24"/>
          <w:highlight w:val="none"/>
          <w:lang w:eastAsia="zh-CN"/>
        </w:rPr>
        <w:t>同阶段的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任务、目的和要求等进行编制。</w:t>
      </w:r>
    </w:p>
    <w:p>
      <w:pPr>
        <w:pStyle w:val="120"/>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6.5.3</w:t>
      </w:r>
      <w:r>
        <w:rPr>
          <w:rFonts w:ascii="Times New Roman" w:hAnsi="Times New Roman" w:eastAsia="宋体"/>
          <w:spacing w:val="-2"/>
          <w:sz w:val="24"/>
          <w:szCs w:val="24"/>
          <w:highlight w:val="none"/>
          <w:lang w:eastAsia="zh-CN"/>
        </w:rPr>
        <w:t>除专用合同条款另有约定外，</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成果文件包括纸质文件和电子文件两</w:t>
      </w:r>
      <w:r>
        <w:rPr>
          <w:rFonts w:hint="eastAsia" w:ascii="Times New Roman" w:hAnsi="Times New Roman" w:eastAsia="宋体"/>
          <w:spacing w:val="1"/>
          <w:sz w:val="24"/>
          <w:szCs w:val="24"/>
          <w:highlight w:val="none"/>
          <w:lang w:eastAsia="zh-CN"/>
        </w:rPr>
        <w:t>种形式，内容应当一致。两者</w:t>
      </w:r>
      <w:r>
        <w:rPr>
          <w:rFonts w:ascii="Times New Roman" w:hAnsi="Times New Roman" w:eastAsia="宋体"/>
          <w:spacing w:val="-2"/>
          <w:sz w:val="24"/>
          <w:szCs w:val="24"/>
          <w:highlight w:val="none"/>
          <w:lang w:eastAsia="zh-CN"/>
        </w:rPr>
        <w:t>若有</w:t>
      </w:r>
      <w:r>
        <w:rPr>
          <w:rFonts w:ascii="Times New Roman" w:hAnsi="Times New Roman" w:eastAsia="宋体"/>
          <w:spacing w:val="1"/>
          <w:sz w:val="24"/>
          <w:szCs w:val="24"/>
          <w:highlight w:val="none"/>
          <w:lang w:eastAsia="zh-CN"/>
        </w:rPr>
        <w:t>不一致时，应以纸质文件为准。纸质文件</w:t>
      </w:r>
      <w:bookmarkStart w:id="469" w:name="_Hlk135125235"/>
      <w:r>
        <w:rPr>
          <w:rFonts w:ascii="Times New Roman" w:hAnsi="Times New Roman" w:eastAsia="宋体"/>
          <w:spacing w:val="1"/>
          <w:sz w:val="24"/>
          <w:szCs w:val="24"/>
          <w:highlight w:val="none"/>
          <w:lang w:eastAsia="zh-CN"/>
        </w:rPr>
        <w:t>一式八份</w:t>
      </w:r>
      <w:bookmarkEnd w:id="469"/>
      <w:r>
        <w:rPr>
          <w:rFonts w:ascii="Times New Roman" w:hAnsi="Times New Roman" w:eastAsia="宋体"/>
          <w:spacing w:val="1"/>
          <w:sz w:val="24"/>
          <w:szCs w:val="24"/>
          <w:highlight w:val="none"/>
          <w:lang w:eastAsia="zh-CN"/>
        </w:rPr>
        <w:t>，应当加盖单位章和项目负责人注册执业印</w:t>
      </w:r>
      <w:r>
        <w:rPr>
          <w:rFonts w:ascii="Times New Roman" w:hAnsi="Times New Roman" w:eastAsia="宋体"/>
          <w:sz w:val="24"/>
          <w:szCs w:val="24"/>
          <w:highlight w:val="none"/>
          <w:lang w:eastAsia="zh-CN"/>
        </w:rPr>
        <w:t>章；电子文件中的文字为</w:t>
      </w:r>
      <w:r>
        <w:rPr>
          <w:rFonts w:ascii="Times New Roman" w:hAnsi="Times New Roman"/>
          <w:sz w:val="24"/>
          <w:szCs w:val="24"/>
          <w:highlight w:val="none"/>
          <w:lang w:eastAsia="zh-CN"/>
        </w:rPr>
        <w:t>WORD</w:t>
      </w:r>
      <w:r>
        <w:rPr>
          <w:rFonts w:ascii="Times New Roman" w:hAnsi="Times New Roman" w:eastAsia="宋体"/>
          <w:sz w:val="24"/>
          <w:szCs w:val="24"/>
          <w:highlight w:val="none"/>
          <w:lang w:eastAsia="zh-CN"/>
        </w:rPr>
        <w:t>格式、图形为</w:t>
      </w:r>
      <w:r>
        <w:rPr>
          <w:rFonts w:ascii="Times New Roman" w:hAnsi="Times New Roman"/>
          <w:spacing w:val="-1"/>
          <w:sz w:val="24"/>
          <w:szCs w:val="24"/>
          <w:highlight w:val="none"/>
          <w:lang w:eastAsia="zh-CN"/>
        </w:rPr>
        <w:t>CAD</w:t>
      </w:r>
      <w:r>
        <w:rPr>
          <w:rFonts w:ascii="Times New Roman" w:hAnsi="Times New Roman" w:eastAsia="宋体"/>
          <w:spacing w:val="3"/>
          <w:sz w:val="24"/>
          <w:szCs w:val="24"/>
          <w:highlight w:val="none"/>
          <w:lang w:eastAsia="zh-CN"/>
        </w:rPr>
        <w:t>、JPG等</w:t>
      </w:r>
      <w:r>
        <w:rPr>
          <w:rFonts w:ascii="Times New Roman" w:hAnsi="Times New Roman" w:eastAsia="宋体"/>
          <w:sz w:val="24"/>
          <w:szCs w:val="24"/>
          <w:highlight w:val="none"/>
          <w:lang w:eastAsia="zh-CN"/>
        </w:rPr>
        <w:t>格式，并应使用光盘和</w:t>
      </w:r>
      <w:r>
        <w:rPr>
          <w:rFonts w:ascii="Times New Roman" w:hAnsi="Times New Roman"/>
          <w:sz w:val="24"/>
          <w:szCs w:val="24"/>
          <w:highlight w:val="none"/>
          <w:lang w:eastAsia="zh-CN"/>
        </w:rPr>
        <w:t>U</w:t>
      </w:r>
      <w:r>
        <w:rPr>
          <w:rFonts w:ascii="Times New Roman" w:hAnsi="Times New Roman" w:eastAsia="宋体"/>
          <w:sz w:val="24"/>
          <w:szCs w:val="24"/>
          <w:highlight w:val="none"/>
          <w:lang w:eastAsia="zh-CN"/>
        </w:rPr>
        <w:t>盘分别贮存。</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70" w:name="_Toc508201322"/>
      <w:bookmarkStart w:id="471" w:name="_Toc506006105"/>
      <w:bookmarkStart w:id="472" w:name="_Toc508200385"/>
      <w:bookmarkStart w:id="473" w:name="_Toc16559"/>
      <w:bookmarkStart w:id="474" w:name="_Toc7388"/>
      <w:r>
        <w:rPr>
          <w:rFonts w:ascii="Times New Roman" w:hAnsi="Times New Roman" w:eastAsia="黑体"/>
          <w:sz w:val="28"/>
          <w:szCs w:val="21"/>
          <w:highlight w:val="none"/>
          <w:lang w:eastAsia="zh-CN"/>
        </w:rPr>
        <w:t>6.6 提前完成</w:t>
      </w:r>
      <w:bookmarkEnd w:id="470"/>
      <w:bookmarkEnd w:id="471"/>
      <w:bookmarkEnd w:id="472"/>
      <w:bookmarkEnd w:id="473"/>
      <w:bookmarkEnd w:id="474"/>
      <w:r>
        <w:rPr>
          <w:rFonts w:hint="eastAsia" w:ascii="Times New Roman" w:hAnsi="Times New Roman" w:eastAsia="黑体"/>
          <w:sz w:val="28"/>
          <w:szCs w:val="21"/>
          <w:highlight w:val="none"/>
          <w:lang w:eastAsia="zh-CN"/>
        </w:rPr>
        <w:t>服务</w:t>
      </w:r>
    </w:p>
    <w:p>
      <w:pPr>
        <w:pStyle w:val="120"/>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6.6.1</w:t>
      </w:r>
      <w:r>
        <w:rPr>
          <w:rFonts w:ascii="Times New Roman" w:hAnsi="Times New Roman" w:eastAsia="宋体"/>
          <w:spacing w:val="-2"/>
          <w:sz w:val="24"/>
          <w:szCs w:val="24"/>
          <w:highlight w:val="none"/>
          <w:lang w:eastAsia="zh-CN"/>
        </w:rPr>
        <w:t>根据委托人要求或者基于专业能力判断，</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认为能够提前完成</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的，可向委托人</w:t>
      </w:r>
      <w:r>
        <w:rPr>
          <w:rFonts w:ascii="Times New Roman" w:hAnsi="Times New Roman" w:eastAsia="宋体"/>
          <w:spacing w:val="1"/>
          <w:sz w:val="24"/>
          <w:szCs w:val="24"/>
          <w:highlight w:val="none"/>
          <w:lang w:eastAsia="zh-CN"/>
        </w:rPr>
        <w:t>递交一份提前完成</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建议书，包括实施方案、提前时间、</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费用变动等内容。除专用合同条款另有约定之外，委托人接受建议书的，不因提前完成</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而减少</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费用；增加</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费</w:t>
      </w:r>
      <w:r>
        <w:rPr>
          <w:rFonts w:ascii="Times New Roman" w:hAnsi="Times New Roman" w:eastAsia="宋体"/>
          <w:sz w:val="24"/>
          <w:szCs w:val="24"/>
          <w:highlight w:val="none"/>
          <w:lang w:eastAsia="zh-CN"/>
        </w:rPr>
        <w:t>用的，所增费用由委托人承担。</w:t>
      </w:r>
    </w:p>
    <w:p>
      <w:pPr>
        <w:pStyle w:val="120"/>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6.6.2</w:t>
      </w:r>
      <w:r>
        <w:rPr>
          <w:rFonts w:ascii="Times New Roman" w:hAnsi="Times New Roman" w:eastAsia="宋体"/>
          <w:spacing w:val="-2"/>
          <w:sz w:val="24"/>
          <w:szCs w:val="24"/>
          <w:highlight w:val="none"/>
          <w:lang w:eastAsia="zh-CN"/>
        </w:rPr>
        <w:t>委托人要求提前完成</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但</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认为无法实施的，应在收到委托人书面指示后</w:t>
      </w:r>
      <w:r>
        <w:rPr>
          <w:rFonts w:ascii="Times New Roman" w:hAnsi="Times New Roman"/>
          <w:sz w:val="24"/>
          <w:szCs w:val="24"/>
          <w:highlight w:val="none"/>
          <w:lang w:eastAsia="zh-CN"/>
        </w:rPr>
        <w:t>7</w:t>
      </w:r>
      <w:r>
        <w:rPr>
          <w:rFonts w:ascii="Times New Roman" w:hAnsi="Times New Roman" w:eastAsia="宋体"/>
          <w:sz w:val="24"/>
          <w:szCs w:val="24"/>
          <w:highlight w:val="none"/>
          <w:lang w:eastAsia="zh-CN"/>
        </w:rPr>
        <w:t>天</w:t>
      </w:r>
      <w:r>
        <w:rPr>
          <w:rFonts w:ascii="Times New Roman" w:hAnsi="Times New Roman" w:eastAsia="宋体"/>
          <w:spacing w:val="-4"/>
          <w:sz w:val="24"/>
          <w:szCs w:val="24"/>
          <w:highlight w:val="none"/>
          <w:lang w:eastAsia="zh-CN"/>
        </w:rPr>
        <w:t>内提出书面异议，说明不能提前完成的理由。委托人应在收到异议后</w:t>
      </w:r>
      <w:r>
        <w:rPr>
          <w:rFonts w:ascii="Times New Roman" w:hAnsi="Times New Roman"/>
          <w:sz w:val="24"/>
          <w:szCs w:val="24"/>
          <w:highlight w:val="none"/>
          <w:lang w:eastAsia="zh-CN"/>
        </w:rPr>
        <w:t>7</w:t>
      </w:r>
      <w:r>
        <w:rPr>
          <w:rFonts w:ascii="Times New Roman" w:hAnsi="Times New Roman" w:eastAsia="宋体"/>
          <w:spacing w:val="-5"/>
          <w:sz w:val="24"/>
          <w:szCs w:val="24"/>
          <w:highlight w:val="none"/>
          <w:lang w:eastAsia="zh-CN"/>
        </w:rPr>
        <w:t>天内予以答复。任何情况下，</w:t>
      </w:r>
      <w:r>
        <w:rPr>
          <w:rFonts w:ascii="Times New Roman" w:hAnsi="Times New Roman" w:eastAsia="宋体"/>
          <w:sz w:val="24"/>
          <w:szCs w:val="24"/>
          <w:highlight w:val="none"/>
          <w:lang w:eastAsia="zh-CN"/>
        </w:rPr>
        <w:t>委托人不得压缩合理的</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期限。</w:t>
      </w:r>
    </w:p>
    <w:p>
      <w:pPr>
        <w:pStyle w:val="121"/>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6.6.3</w:t>
      </w:r>
      <w:r>
        <w:rPr>
          <w:rFonts w:ascii="Times New Roman" w:hAnsi="Times New Roman" w:eastAsia="宋体"/>
          <w:spacing w:val="-2"/>
          <w:sz w:val="24"/>
          <w:szCs w:val="24"/>
          <w:highlight w:val="none"/>
          <w:lang w:eastAsia="zh-CN"/>
        </w:rPr>
        <w:t>由于</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提前完成</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而给委托人带来经济效益的，委托人可以在专用合同条款中</w:t>
      </w:r>
      <w:r>
        <w:rPr>
          <w:rFonts w:ascii="Times New Roman" w:hAnsi="Times New Roman" w:eastAsia="宋体"/>
          <w:sz w:val="24"/>
          <w:szCs w:val="24"/>
          <w:highlight w:val="none"/>
          <w:lang w:eastAsia="zh-CN"/>
        </w:rPr>
        <w:t>约定</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因此获得的奖励内容。</w:t>
      </w:r>
    </w:p>
    <w:p>
      <w:pPr>
        <w:pStyle w:val="107"/>
        <w:spacing w:before="260" w:after="260" w:line="440" w:lineRule="atLeast"/>
        <w:rPr>
          <w:rFonts w:ascii="Times New Roman" w:hAnsi="Times New Roman" w:eastAsia="黑体"/>
          <w:b/>
          <w:spacing w:val="1"/>
          <w:sz w:val="32"/>
          <w:szCs w:val="32"/>
          <w:highlight w:val="none"/>
          <w:lang w:eastAsia="zh-CN"/>
        </w:rPr>
      </w:pPr>
      <w:bookmarkStart w:id="475" w:name="_Toc508201323"/>
      <w:bookmarkStart w:id="476" w:name="_Toc32496"/>
      <w:bookmarkStart w:id="477" w:name="_Toc508200386"/>
      <w:bookmarkStart w:id="478" w:name="_Toc513817607"/>
      <w:bookmarkStart w:id="479" w:name="_Toc506006106"/>
      <w:bookmarkStart w:id="480" w:name="_Toc18301"/>
      <w:r>
        <w:rPr>
          <w:rFonts w:ascii="Times New Roman" w:hAnsi="Times New Roman" w:eastAsia="黑体"/>
          <w:b/>
          <w:spacing w:val="1"/>
          <w:sz w:val="32"/>
          <w:szCs w:val="32"/>
          <w:highlight w:val="none"/>
          <w:lang w:eastAsia="zh-CN"/>
        </w:rPr>
        <w:t>7. 暂停</w:t>
      </w:r>
      <w:bookmarkEnd w:id="475"/>
      <w:bookmarkEnd w:id="476"/>
      <w:bookmarkEnd w:id="477"/>
      <w:bookmarkEnd w:id="478"/>
      <w:bookmarkEnd w:id="479"/>
      <w:bookmarkEnd w:id="480"/>
      <w:r>
        <w:rPr>
          <w:rFonts w:hint="eastAsia" w:ascii="Times New Roman" w:hAnsi="Times New Roman" w:eastAsia="黑体"/>
          <w:b/>
          <w:spacing w:val="1"/>
          <w:sz w:val="32"/>
          <w:szCs w:val="32"/>
          <w:highlight w:val="none"/>
          <w:lang w:eastAsia="zh-CN"/>
        </w:rPr>
        <w:t>服务</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81" w:name="_Toc508201324"/>
      <w:bookmarkStart w:id="482" w:name="_Toc28780"/>
      <w:bookmarkStart w:id="483" w:name="_Toc9960"/>
      <w:bookmarkStart w:id="484" w:name="_Toc508200387"/>
      <w:bookmarkStart w:id="485" w:name="_Toc506006107"/>
      <w:r>
        <w:rPr>
          <w:rFonts w:ascii="Times New Roman" w:hAnsi="Times New Roman" w:eastAsia="黑体"/>
          <w:sz w:val="28"/>
          <w:szCs w:val="21"/>
          <w:highlight w:val="none"/>
          <w:lang w:eastAsia="zh-CN"/>
        </w:rPr>
        <w:t>7.1 委托人原因暂停</w:t>
      </w:r>
      <w:bookmarkEnd w:id="481"/>
      <w:bookmarkEnd w:id="482"/>
      <w:bookmarkEnd w:id="483"/>
      <w:bookmarkEnd w:id="484"/>
      <w:bookmarkEnd w:id="485"/>
      <w:r>
        <w:rPr>
          <w:rFonts w:hint="eastAsia" w:ascii="Times New Roman" w:hAnsi="Times New Roman" w:eastAsia="黑体"/>
          <w:sz w:val="28"/>
          <w:szCs w:val="21"/>
          <w:highlight w:val="none"/>
          <w:lang w:eastAsia="zh-CN"/>
        </w:rPr>
        <w:t>服务</w:t>
      </w:r>
    </w:p>
    <w:p>
      <w:pPr>
        <w:pStyle w:val="12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合同履行中发生下列情形之一的，</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可向委托人发出通知，要求委托人采取有效措施</w:t>
      </w:r>
      <w:r>
        <w:rPr>
          <w:rFonts w:ascii="Times New Roman" w:hAnsi="Times New Roman" w:eastAsia="宋体"/>
          <w:spacing w:val="-2"/>
          <w:sz w:val="24"/>
          <w:szCs w:val="24"/>
          <w:highlight w:val="none"/>
          <w:lang w:eastAsia="zh-CN"/>
        </w:rPr>
        <w:t>予以纠正。委托人收到</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通知后的</w:t>
      </w:r>
      <w:r>
        <w:rPr>
          <w:rFonts w:ascii="Times New Roman" w:hAnsi="Times New Roman"/>
          <w:spacing w:val="-2"/>
          <w:sz w:val="24"/>
          <w:szCs w:val="24"/>
          <w:highlight w:val="none"/>
          <w:lang w:eastAsia="zh-CN"/>
        </w:rPr>
        <w:t>28</w:t>
      </w:r>
      <w:r>
        <w:rPr>
          <w:rFonts w:ascii="Times New Roman" w:hAnsi="Times New Roman" w:eastAsia="宋体"/>
          <w:spacing w:val="-2"/>
          <w:sz w:val="24"/>
          <w:szCs w:val="24"/>
          <w:highlight w:val="none"/>
          <w:lang w:eastAsia="zh-CN"/>
        </w:rPr>
        <w:t>天内仍不履行合同义务时，</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有权暂停</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并通</w:t>
      </w:r>
      <w:r>
        <w:rPr>
          <w:rFonts w:ascii="Times New Roman" w:hAnsi="Times New Roman" w:eastAsia="宋体"/>
          <w:sz w:val="24"/>
          <w:szCs w:val="24"/>
          <w:highlight w:val="none"/>
          <w:lang w:eastAsia="zh-CN"/>
        </w:rPr>
        <w:t>知委托人；委托人应承担由此导致的费用增加和（或）周期延误。</w:t>
      </w:r>
    </w:p>
    <w:p>
      <w:pPr>
        <w:pStyle w:val="12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）委托人违约；</w:t>
      </w:r>
    </w:p>
    <w:p>
      <w:pPr>
        <w:pStyle w:val="12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）委托人确定暂停</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w:t>
      </w:r>
    </w:p>
    <w:p>
      <w:pPr>
        <w:pStyle w:val="12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3</w:t>
      </w:r>
      <w:r>
        <w:rPr>
          <w:rFonts w:ascii="Times New Roman" w:hAnsi="Times New Roman" w:eastAsia="宋体"/>
          <w:sz w:val="24"/>
          <w:szCs w:val="24"/>
          <w:highlight w:val="none"/>
          <w:lang w:eastAsia="zh-CN"/>
        </w:rPr>
        <w:t>）合同约定由委托人承担责任的其他情形。</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86" w:name="_Toc508201325"/>
      <w:bookmarkStart w:id="487" w:name="_Toc508200388"/>
      <w:bookmarkStart w:id="488" w:name="_Toc506006108"/>
      <w:bookmarkStart w:id="489" w:name="_Toc5576"/>
      <w:bookmarkStart w:id="490" w:name="_Toc6550"/>
      <w:r>
        <w:rPr>
          <w:rFonts w:ascii="Times New Roman" w:hAnsi="Times New Roman" w:eastAsia="黑体"/>
          <w:sz w:val="28"/>
          <w:szCs w:val="21"/>
          <w:highlight w:val="none"/>
          <w:lang w:eastAsia="zh-CN"/>
        </w:rPr>
        <w:t xml:space="preserve">7.2 </w:t>
      </w:r>
      <w:r>
        <w:rPr>
          <w:rFonts w:hint="eastAsia" w:ascii="Times New Roman" w:hAnsi="Times New Roman" w:eastAsia="黑体"/>
          <w:sz w:val="28"/>
          <w:szCs w:val="21"/>
          <w:highlight w:val="none"/>
          <w:lang w:eastAsia="zh-CN"/>
        </w:rPr>
        <w:t>服务人</w:t>
      </w:r>
      <w:r>
        <w:rPr>
          <w:rFonts w:ascii="Times New Roman" w:hAnsi="Times New Roman" w:eastAsia="黑体"/>
          <w:sz w:val="28"/>
          <w:szCs w:val="21"/>
          <w:highlight w:val="none"/>
          <w:lang w:eastAsia="zh-CN"/>
        </w:rPr>
        <w:t>原因暂停</w:t>
      </w:r>
      <w:bookmarkEnd w:id="486"/>
      <w:bookmarkEnd w:id="487"/>
      <w:bookmarkEnd w:id="488"/>
      <w:bookmarkEnd w:id="489"/>
      <w:bookmarkEnd w:id="490"/>
      <w:r>
        <w:rPr>
          <w:rFonts w:hint="eastAsia" w:ascii="Times New Roman" w:hAnsi="Times New Roman" w:eastAsia="黑体"/>
          <w:sz w:val="28"/>
          <w:szCs w:val="21"/>
          <w:highlight w:val="none"/>
          <w:lang w:eastAsia="zh-CN"/>
        </w:rPr>
        <w:t>服务</w:t>
      </w:r>
    </w:p>
    <w:p>
      <w:pPr>
        <w:pStyle w:val="12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合同履行中发生下列情形之一的，委托人可向</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发出通知暂停</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，由此造成费用的</w:t>
      </w:r>
      <w:r>
        <w:rPr>
          <w:rFonts w:ascii="Times New Roman" w:hAnsi="Times New Roman" w:eastAsia="宋体"/>
          <w:sz w:val="24"/>
          <w:szCs w:val="24"/>
          <w:highlight w:val="none"/>
          <w:lang w:eastAsia="zh-CN"/>
        </w:rPr>
        <w:t>增加和（或）周期延误由</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承担：</w:t>
      </w:r>
    </w:p>
    <w:p>
      <w:pPr>
        <w:pStyle w:val="12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违约；</w:t>
      </w:r>
    </w:p>
    <w:p>
      <w:pPr>
        <w:pStyle w:val="12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擅自暂停</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w:t>
      </w:r>
    </w:p>
    <w:p>
      <w:pPr>
        <w:pStyle w:val="121"/>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3</w:t>
      </w:r>
      <w:r>
        <w:rPr>
          <w:rFonts w:ascii="Times New Roman" w:hAnsi="Times New Roman" w:eastAsia="宋体"/>
          <w:sz w:val="24"/>
          <w:szCs w:val="24"/>
          <w:highlight w:val="none"/>
          <w:lang w:eastAsia="zh-CN"/>
        </w:rPr>
        <w:t>）合同约定由</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承担责任的其他情形。</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491" w:name="_Toc508200389"/>
      <w:bookmarkStart w:id="492" w:name="_Toc31918"/>
      <w:bookmarkStart w:id="493" w:name="_Toc506006109"/>
      <w:bookmarkStart w:id="494" w:name="_Toc16954"/>
      <w:bookmarkStart w:id="495" w:name="_Toc508201326"/>
      <w:r>
        <w:rPr>
          <w:rFonts w:ascii="Times New Roman" w:hAnsi="Times New Roman" w:eastAsia="黑体"/>
          <w:sz w:val="28"/>
          <w:szCs w:val="21"/>
          <w:highlight w:val="none"/>
          <w:lang w:eastAsia="zh-CN"/>
        </w:rPr>
        <w:t>7.3 暂停期间的文件照管</w:t>
      </w:r>
      <w:bookmarkEnd w:id="491"/>
      <w:bookmarkEnd w:id="492"/>
      <w:bookmarkEnd w:id="493"/>
      <w:bookmarkEnd w:id="494"/>
      <w:bookmarkEnd w:id="495"/>
    </w:p>
    <w:p>
      <w:pPr>
        <w:pStyle w:val="121"/>
        <w:spacing w:before="0" w:after="0" w:line="440" w:lineRule="atLeast"/>
        <w:ind w:firstLine="472" w:firstLineChars="200"/>
        <w:rPr>
          <w:rFonts w:ascii="Times New Roman" w:hAnsi="Times New Roman"/>
          <w:sz w:val="24"/>
          <w:szCs w:val="24"/>
          <w:highlight w:val="none"/>
          <w:lang w:eastAsia="zh-CN"/>
        </w:rPr>
      </w:pPr>
      <w:r>
        <w:rPr>
          <w:rFonts w:ascii="Times New Roman" w:hAnsi="Times New Roman" w:eastAsia="宋体"/>
          <w:spacing w:val="-2"/>
          <w:sz w:val="24"/>
          <w:szCs w:val="24"/>
          <w:highlight w:val="none"/>
          <w:lang w:eastAsia="zh-CN"/>
        </w:rPr>
        <w:t>不论由于何种原因引起暂停</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的，暂停期间</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应负责妥善保护已完部分的</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w:t>
      </w:r>
      <w:r>
        <w:rPr>
          <w:rFonts w:ascii="Times New Roman" w:hAnsi="Times New Roman" w:eastAsia="宋体"/>
          <w:sz w:val="24"/>
          <w:szCs w:val="24"/>
          <w:highlight w:val="none"/>
          <w:lang w:eastAsia="zh-CN"/>
        </w:rPr>
        <w:t>由此增加的费用由责任方承担。</w:t>
      </w:r>
    </w:p>
    <w:p>
      <w:pPr>
        <w:pStyle w:val="107"/>
        <w:spacing w:before="260" w:after="260" w:line="440" w:lineRule="atLeast"/>
        <w:rPr>
          <w:rFonts w:ascii="Times New Roman" w:hAnsi="Times New Roman" w:eastAsia="黑体"/>
          <w:b/>
          <w:spacing w:val="1"/>
          <w:sz w:val="32"/>
          <w:szCs w:val="32"/>
          <w:highlight w:val="none"/>
          <w:lang w:eastAsia="zh-CN"/>
        </w:rPr>
      </w:pPr>
      <w:bookmarkStart w:id="496" w:name="_Toc506006110"/>
      <w:bookmarkStart w:id="497" w:name="_Toc17647"/>
      <w:bookmarkStart w:id="498" w:name="_Toc513817608"/>
      <w:bookmarkStart w:id="499" w:name="_Toc508201327"/>
      <w:bookmarkStart w:id="500" w:name="_Toc508200390"/>
      <w:bookmarkStart w:id="501" w:name="_Toc23740"/>
      <w:r>
        <w:rPr>
          <w:rFonts w:ascii="Times New Roman" w:hAnsi="Times New Roman" w:eastAsia="黑体"/>
          <w:b/>
          <w:spacing w:val="1"/>
          <w:sz w:val="32"/>
          <w:szCs w:val="32"/>
          <w:highlight w:val="none"/>
          <w:lang w:eastAsia="zh-CN"/>
        </w:rPr>
        <w:t xml:space="preserve">8. </w:t>
      </w:r>
      <w:bookmarkEnd w:id="496"/>
      <w:r>
        <w:rPr>
          <w:rFonts w:hint="eastAsia" w:ascii="Times New Roman" w:hAnsi="Times New Roman" w:eastAsia="黑体"/>
          <w:b/>
          <w:spacing w:val="1"/>
          <w:sz w:val="32"/>
          <w:szCs w:val="32"/>
          <w:highlight w:val="none"/>
          <w:lang w:eastAsia="zh-CN"/>
        </w:rPr>
        <w:t>服务</w:t>
      </w:r>
      <w:r>
        <w:rPr>
          <w:rFonts w:ascii="Times New Roman" w:hAnsi="Times New Roman" w:eastAsia="黑体"/>
          <w:b/>
          <w:spacing w:val="1"/>
          <w:sz w:val="32"/>
          <w:szCs w:val="32"/>
          <w:highlight w:val="none"/>
          <w:lang w:eastAsia="zh-CN"/>
        </w:rPr>
        <w:t>成果文件</w:t>
      </w:r>
      <w:bookmarkEnd w:id="497"/>
      <w:bookmarkEnd w:id="498"/>
      <w:bookmarkEnd w:id="499"/>
      <w:bookmarkEnd w:id="500"/>
      <w:bookmarkEnd w:id="501"/>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02" w:name="_Toc28993"/>
      <w:bookmarkStart w:id="503" w:name="_Toc506006111"/>
      <w:bookmarkStart w:id="504" w:name="_Toc2784"/>
      <w:bookmarkStart w:id="505" w:name="_Toc508201328"/>
      <w:bookmarkStart w:id="506" w:name="_Toc508200391"/>
      <w:r>
        <w:rPr>
          <w:rFonts w:ascii="Times New Roman" w:hAnsi="Times New Roman" w:eastAsia="黑体"/>
          <w:sz w:val="28"/>
          <w:szCs w:val="21"/>
          <w:highlight w:val="none"/>
          <w:lang w:eastAsia="zh-CN"/>
        </w:rPr>
        <w:t xml:space="preserve">8.1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成果文件接收</w:t>
      </w:r>
      <w:bookmarkEnd w:id="502"/>
      <w:bookmarkEnd w:id="503"/>
      <w:bookmarkEnd w:id="504"/>
      <w:bookmarkEnd w:id="505"/>
      <w:bookmarkEnd w:id="506"/>
    </w:p>
    <w:p>
      <w:pPr>
        <w:pStyle w:val="121"/>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8.1.1</w:t>
      </w:r>
      <w:r>
        <w:rPr>
          <w:rFonts w:ascii="Times New Roman" w:hAnsi="Times New Roman" w:eastAsia="宋体"/>
          <w:spacing w:val="-2"/>
          <w:sz w:val="24"/>
          <w:szCs w:val="24"/>
          <w:highlight w:val="none"/>
          <w:lang w:eastAsia="zh-CN"/>
        </w:rPr>
        <w:t>委托人应当及时接收</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提交的</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成果文件。如无正当理由拒收的，视为委托人已经</w:t>
      </w:r>
      <w:r>
        <w:rPr>
          <w:rFonts w:ascii="Times New Roman" w:hAnsi="Times New Roman" w:eastAsia="宋体"/>
          <w:sz w:val="24"/>
          <w:szCs w:val="24"/>
          <w:highlight w:val="none"/>
          <w:lang w:eastAsia="zh-CN"/>
        </w:rPr>
        <w:t>接收</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成果文件。</w:t>
      </w:r>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8.1.2</w:t>
      </w:r>
      <w:r>
        <w:rPr>
          <w:rFonts w:ascii="Times New Roman" w:hAnsi="Times New Roman" w:eastAsia="宋体"/>
          <w:spacing w:val="-2"/>
          <w:sz w:val="24"/>
          <w:szCs w:val="24"/>
          <w:highlight w:val="none"/>
          <w:lang w:eastAsia="zh-CN"/>
        </w:rPr>
        <w:t>委托人接收</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成果文件时，应向</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出具文件签收凭证</w:t>
      </w:r>
      <w:r>
        <w:rPr>
          <w:rFonts w:ascii="Times New Roman" w:hAnsi="Times New Roman" w:eastAsia="宋体"/>
          <w:sz w:val="24"/>
          <w:szCs w:val="24"/>
          <w:highlight w:val="none"/>
          <w:lang w:eastAsia="zh-CN"/>
        </w:rPr>
        <w:t>。</w:t>
      </w:r>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8.1.3</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成果文件提交的份数、内容、纸幅、装订格式、电子文件</w:t>
      </w:r>
      <w:r>
        <w:rPr>
          <w:rFonts w:ascii="Times New Roman" w:hAnsi="Times New Roman" w:eastAsia="宋体"/>
          <w:sz w:val="24"/>
          <w:szCs w:val="24"/>
          <w:highlight w:val="none"/>
          <w:lang w:eastAsia="zh-CN"/>
        </w:rPr>
        <w:t>要求，在专用合同条款中约定。</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07" w:name="_Toc506006112"/>
      <w:bookmarkStart w:id="508" w:name="_Toc17167"/>
      <w:bookmarkStart w:id="509" w:name="_Toc508200392"/>
      <w:bookmarkStart w:id="510" w:name="_Toc31955"/>
      <w:bookmarkStart w:id="511" w:name="_Toc508201329"/>
      <w:r>
        <w:rPr>
          <w:rFonts w:ascii="Times New Roman" w:hAnsi="Times New Roman" w:eastAsia="黑体"/>
          <w:sz w:val="28"/>
          <w:szCs w:val="21"/>
          <w:highlight w:val="none"/>
          <w:lang w:eastAsia="zh-CN"/>
        </w:rPr>
        <w:t>8.2 委托人审查</w:t>
      </w:r>
      <w:bookmarkEnd w:id="507"/>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成果文件</w:t>
      </w:r>
      <w:bookmarkEnd w:id="508"/>
      <w:bookmarkEnd w:id="509"/>
      <w:bookmarkEnd w:id="510"/>
      <w:bookmarkEnd w:id="511"/>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8.2.1</w:t>
      </w:r>
      <w:r>
        <w:rPr>
          <w:rFonts w:ascii="Times New Roman" w:hAnsi="Times New Roman" w:eastAsia="宋体"/>
          <w:spacing w:val="-5"/>
          <w:sz w:val="24"/>
          <w:szCs w:val="24"/>
          <w:highlight w:val="none"/>
          <w:lang w:eastAsia="zh-CN"/>
        </w:rPr>
        <w:t>委托人接收</w:t>
      </w:r>
      <w:r>
        <w:rPr>
          <w:rFonts w:hint="eastAsia" w:ascii="Times New Roman" w:hAnsi="Times New Roman" w:eastAsia="宋体"/>
          <w:spacing w:val="-5"/>
          <w:sz w:val="24"/>
          <w:szCs w:val="24"/>
          <w:highlight w:val="none"/>
          <w:lang w:eastAsia="zh-CN"/>
        </w:rPr>
        <w:t>服务</w:t>
      </w:r>
      <w:r>
        <w:rPr>
          <w:rFonts w:ascii="Times New Roman" w:hAnsi="Times New Roman" w:eastAsia="宋体"/>
          <w:spacing w:val="-5"/>
          <w:sz w:val="24"/>
          <w:szCs w:val="24"/>
          <w:highlight w:val="none"/>
          <w:lang w:eastAsia="zh-CN"/>
        </w:rPr>
        <w:t>成果文件之后，可以自行或者组织专家会进行审查，</w:t>
      </w:r>
      <w:r>
        <w:rPr>
          <w:rFonts w:hint="eastAsia" w:ascii="Times New Roman" w:hAnsi="Times New Roman" w:eastAsia="宋体"/>
          <w:spacing w:val="-5"/>
          <w:sz w:val="24"/>
          <w:szCs w:val="24"/>
          <w:highlight w:val="none"/>
          <w:lang w:eastAsia="zh-CN"/>
        </w:rPr>
        <w:t>服务人</w:t>
      </w:r>
      <w:r>
        <w:rPr>
          <w:rFonts w:ascii="Times New Roman" w:hAnsi="Times New Roman" w:eastAsia="宋体"/>
          <w:spacing w:val="-5"/>
          <w:sz w:val="24"/>
          <w:szCs w:val="24"/>
          <w:highlight w:val="none"/>
          <w:lang w:eastAsia="zh-CN"/>
        </w:rPr>
        <w:t>应当给予配合。</w:t>
      </w:r>
      <w:r>
        <w:rPr>
          <w:rFonts w:ascii="Times New Roman" w:hAnsi="Times New Roman" w:eastAsia="宋体"/>
          <w:spacing w:val="1"/>
          <w:sz w:val="24"/>
          <w:szCs w:val="24"/>
          <w:highlight w:val="none"/>
          <w:lang w:eastAsia="zh-CN"/>
        </w:rPr>
        <w:t>审查标准应当符合法律、规范标准、合同约定和委托人要求等；审查的具体范围、明细内容和</w:t>
      </w:r>
      <w:r>
        <w:rPr>
          <w:rFonts w:ascii="Times New Roman" w:hAnsi="Times New Roman" w:eastAsia="宋体"/>
          <w:sz w:val="24"/>
          <w:szCs w:val="24"/>
          <w:highlight w:val="none"/>
          <w:lang w:eastAsia="zh-CN"/>
        </w:rPr>
        <w:t>费用分担，在专用合同条款中约定。</w:t>
      </w:r>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8.2.2</w:t>
      </w:r>
      <w:r>
        <w:rPr>
          <w:rFonts w:ascii="Times New Roman" w:hAnsi="Times New Roman" w:eastAsia="宋体"/>
          <w:spacing w:val="-2"/>
          <w:sz w:val="24"/>
          <w:szCs w:val="24"/>
          <w:highlight w:val="none"/>
          <w:lang w:eastAsia="zh-CN"/>
        </w:rPr>
        <w:t>除专用合同条款另有约定外，委托人对于</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成果文件的审查期限，自文件接收之日起不</w:t>
      </w:r>
      <w:r>
        <w:rPr>
          <w:rFonts w:ascii="Times New Roman" w:hAnsi="Times New Roman" w:eastAsia="宋体"/>
          <w:sz w:val="24"/>
          <w:szCs w:val="24"/>
          <w:highlight w:val="none"/>
          <w:lang w:eastAsia="zh-CN"/>
        </w:rPr>
        <w:t>应超过</w:t>
      </w:r>
      <w:r>
        <w:rPr>
          <w:rFonts w:ascii="Times New Roman" w:hAnsi="Times New Roman"/>
          <w:spacing w:val="1"/>
          <w:sz w:val="24"/>
          <w:szCs w:val="24"/>
          <w:highlight w:val="none"/>
          <w:lang w:eastAsia="zh-CN"/>
        </w:rPr>
        <w:t xml:space="preserve"> 14</w:t>
      </w:r>
      <w:r>
        <w:rPr>
          <w:rFonts w:ascii="Times New Roman" w:hAnsi="Times New Roman" w:eastAsia="宋体"/>
          <w:spacing w:val="-2"/>
          <w:sz w:val="24"/>
          <w:szCs w:val="24"/>
          <w:highlight w:val="none"/>
          <w:lang w:eastAsia="zh-CN"/>
        </w:rPr>
        <w:t>天。委托人逾期未做出审查结论且未提出异议的，视为</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的</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成果文件已经通过委托人</w:t>
      </w:r>
      <w:r>
        <w:rPr>
          <w:rFonts w:ascii="Times New Roman" w:hAnsi="Times New Roman" w:eastAsia="宋体"/>
          <w:spacing w:val="1"/>
          <w:sz w:val="24"/>
          <w:szCs w:val="24"/>
          <w:highlight w:val="none"/>
          <w:lang w:eastAsia="zh-CN"/>
        </w:rPr>
        <w:t>审查。</w:t>
      </w:r>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8.2.3</w:t>
      </w:r>
      <w:r>
        <w:rPr>
          <w:rFonts w:ascii="Times New Roman" w:hAnsi="Times New Roman" w:eastAsia="宋体"/>
          <w:spacing w:val="-2"/>
          <w:sz w:val="24"/>
          <w:szCs w:val="24"/>
          <w:highlight w:val="none"/>
          <w:lang w:eastAsia="zh-CN"/>
        </w:rPr>
        <w:t>委托人审查后不同意</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成果文件的，应以书面形式通知</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，说明审查不通过的理由</w:t>
      </w:r>
      <w:r>
        <w:rPr>
          <w:rFonts w:ascii="Times New Roman" w:hAnsi="Times New Roman" w:eastAsia="宋体"/>
          <w:spacing w:val="1"/>
          <w:sz w:val="24"/>
          <w:szCs w:val="24"/>
          <w:highlight w:val="none"/>
          <w:lang w:eastAsia="zh-CN"/>
        </w:rPr>
        <w:t>及其具体内容。</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应根据委托人的审查意见修改完善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成果文件，并重新报送委托人审查，</w:t>
      </w:r>
      <w:r>
        <w:rPr>
          <w:rFonts w:ascii="Times New Roman" w:hAnsi="Times New Roman" w:eastAsia="宋体"/>
          <w:sz w:val="24"/>
          <w:szCs w:val="24"/>
          <w:highlight w:val="none"/>
          <w:lang w:eastAsia="zh-CN"/>
        </w:rPr>
        <w:t>审查期限重新起算。</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12" w:name="_Toc506006113"/>
      <w:bookmarkStart w:id="513" w:name="_Toc24556"/>
      <w:bookmarkStart w:id="514" w:name="_Toc508200393"/>
      <w:bookmarkStart w:id="515" w:name="_Toc508201330"/>
      <w:bookmarkStart w:id="516" w:name="_Toc2350"/>
      <w:r>
        <w:rPr>
          <w:rFonts w:ascii="Times New Roman" w:hAnsi="Times New Roman" w:eastAsia="黑体"/>
          <w:sz w:val="28"/>
          <w:szCs w:val="21"/>
          <w:highlight w:val="none"/>
          <w:lang w:eastAsia="zh-CN"/>
        </w:rPr>
        <w:t>8.3 审查机构审查</w:t>
      </w:r>
      <w:bookmarkEnd w:id="512"/>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成果文件</w:t>
      </w:r>
      <w:bookmarkEnd w:id="513"/>
      <w:bookmarkEnd w:id="514"/>
      <w:bookmarkEnd w:id="515"/>
      <w:bookmarkEnd w:id="516"/>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8.3.1</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成果文件需经政府有关部门审查或批准的，委托人应在审查同意后，按照有关主管部</w:t>
      </w:r>
      <w:r>
        <w:rPr>
          <w:rFonts w:ascii="Times New Roman" w:hAnsi="Times New Roman" w:eastAsia="宋体"/>
          <w:spacing w:val="1"/>
          <w:sz w:val="24"/>
          <w:szCs w:val="24"/>
          <w:highlight w:val="none"/>
          <w:lang w:eastAsia="zh-CN"/>
        </w:rPr>
        <w:t>门要求，将</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成果文件和相关资料报送</w:t>
      </w:r>
      <w:r>
        <w:rPr>
          <w:rFonts w:ascii="Times New Roman" w:hAnsi="Times New Roman" w:eastAsia="宋体"/>
          <w:spacing w:val="-2"/>
          <w:sz w:val="24"/>
          <w:szCs w:val="24"/>
          <w:highlight w:val="none"/>
          <w:lang w:eastAsia="zh-CN"/>
        </w:rPr>
        <w:t>政府有关部门</w:t>
      </w:r>
      <w:r>
        <w:rPr>
          <w:rFonts w:ascii="Times New Roman" w:hAnsi="Times New Roman" w:eastAsia="宋体"/>
          <w:spacing w:val="1"/>
          <w:sz w:val="24"/>
          <w:szCs w:val="24"/>
          <w:highlight w:val="none"/>
          <w:lang w:eastAsia="zh-CN"/>
        </w:rPr>
        <w:t>进行审查。委托人的审查和</w:t>
      </w:r>
      <w:r>
        <w:rPr>
          <w:rFonts w:ascii="Times New Roman" w:hAnsi="Times New Roman" w:eastAsia="宋体"/>
          <w:spacing w:val="-2"/>
          <w:sz w:val="24"/>
          <w:szCs w:val="24"/>
          <w:highlight w:val="none"/>
          <w:lang w:eastAsia="zh-CN"/>
        </w:rPr>
        <w:t>审查机构</w:t>
      </w:r>
      <w:r>
        <w:rPr>
          <w:rFonts w:ascii="Times New Roman" w:hAnsi="Times New Roman" w:eastAsia="宋体"/>
          <w:sz w:val="24"/>
          <w:szCs w:val="24"/>
          <w:highlight w:val="none"/>
          <w:lang w:eastAsia="zh-CN"/>
        </w:rPr>
        <w:t>的审查不减免</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因为服务质量问题而应承担的</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责任。</w:t>
      </w:r>
    </w:p>
    <w:p>
      <w:pPr>
        <w:pStyle w:val="122"/>
        <w:spacing w:before="0" w:after="0" w:line="440" w:lineRule="atLeast"/>
        <w:ind w:firstLine="480" w:firstLineChars="200"/>
        <w:rPr>
          <w:rFonts w:ascii="Times New Roman" w:hAnsi="Times New Roman" w:eastAsia="宋体"/>
          <w:spacing w:val="-2"/>
          <w:sz w:val="24"/>
          <w:szCs w:val="24"/>
          <w:highlight w:val="none"/>
          <w:lang w:eastAsia="zh-CN"/>
        </w:rPr>
      </w:pPr>
      <w:r>
        <w:rPr>
          <w:rFonts w:ascii="Times New Roman" w:hAnsi="Times New Roman"/>
          <w:b/>
          <w:sz w:val="24"/>
          <w:szCs w:val="24"/>
          <w:highlight w:val="none"/>
          <w:lang w:eastAsia="zh-CN"/>
        </w:rPr>
        <w:t>8.3.2</w:t>
      </w:r>
      <w:r>
        <w:rPr>
          <w:rFonts w:hint="eastAsia" w:ascii="Times New Roman" w:hAnsi="Times New Roman" w:eastAsia="宋体"/>
          <w:spacing w:val="-2"/>
          <w:sz w:val="24"/>
          <w:szCs w:val="24"/>
          <w:highlight w:val="none"/>
          <w:lang w:eastAsia="zh-CN"/>
        </w:rPr>
        <w:t>对于审查机构的审查意见，如不需要修改委托人要求的，应由服务人按照审查意见修改完善服务成果文件，由此导致的费用增加和（或）周期延误由服务人承担；如需修改委托人要求的，则由委托人重新修改和提出委托人要求，再由服务人根据新的委托人要求修改完善服务成果文件，由此导致的费用增加和（或）周期延误由委托人承担。</w:t>
      </w:r>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8.3.3</w:t>
      </w:r>
      <w:r>
        <w:rPr>
          <w:rFonts w:ascii="Times New Roman" w:hAnsi="Times New Roman" w:eastAsia="宋体"/>
          <w:spacing w:val="-2"/>
          <w:sz w:val="24"/>
          <w:szCs w:val="24"/>
          <w:highlight w:val="none"/>
          <w:lang w:eastAsia="zh-CN"/>
        </w:rPr>
        <w:t>由于自身原因造成</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成果文件未通过审查机构审查的，</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应当承担违约责任，采取</w:t>
      </w:r>
      <w:r>
        <w:rPr>
          <w:rFonts w:ascii="Times New Roman" w:hAnsi="Times New Roman" w:eastAsia="宋体"/>
          <w:sz w:val="24"/>
          <w:szCs w:val="24"/>
          <w:highlight w:val="none"/>
          <w:lang w:eastAsia="zh-CN"/>
        </w:rPr>
        <w:t>补救措施直至达到合同约定的质量标准，并自行承担由此导致的费用增加和（或）周期延误。</w:t>
      </w:r>
    </w:p>
    <w:p>
      <w:pPr>
        <w:pStyle w:val="107"/>
        <w:spacing w:before="260" w:after="260" w:line="440" w:lineRule="atLeast"/>
        <w:rPr>
          <w:rFonts w:ascii="Times New Roman" w:hAnsi="Times New Roman" w:eastAsia="黑体"/>
          <w:b/>
          <w:spacing w:val="1"/>
          <w:sz w:val="32"/>
          <w:szCs w:val="32"/>
          <w:highlight w:val="none"/>
          <w:lang w:eastAsia="zh-CN"/>
        </w:rPr>
      </w:pPr>
      <w:bookmarkStart w:id="517" w:name="_Toc20169"/>
      <w:bookmarkStart w:id="518" w:name="_Toc508201331"/>
      <w:bookmarkStart w:id="519" w:name="_Toc513817609"/>
      <w:bookmarkStart w:id="520" w:name="_Toc30620"/>
      <w:bookmarkStart w:id="521" w:name="_Toc506006114"/>
      <w:bookmarkStart w:id="522" w:name="_Toc508200394"/>
      <w:r>
        <w:rPr>
          <w:rFonts w:ascii="Times New Roman" w:hAnsi="Times New Roman" w:eastAsia="黑体"/>
          <w:b/>
          <w:spacing w:val="1"/>
          <w:sz w:val="32"/>
          <w:szCs w:val="32"/>
          <w:highlight w:val="none"/>
          <w:lang w:eastAsia="zh-CN"/>
        </w:rPr>
        <w:t xml:space="preserve">9. </w:t>
      </w:r>
      <w:r>
        <w:rPr>
          <w:rFonts w:hint="eastAsia" w:ascii="Times New Roman" w:hAnsi="Times New Roman" w:eastAsia="黑体"/>
          <w:b/>
          <w:spacing w:val="1"/>
          <w:sz w:val="32"/>
          <w:szCs w:val="32"/>
          <w:highlight w:val="none"/>
          <w:lang w:eastAsia="zh-CN"/>
        </w:rPr>
        <w:t>服务</w:t>
      </w:r>
      <w:r>
        <w:rPr>
          <w:rFonts w:ascii="Times New Roman" w:hAnsi="Times New Roman" w:eastAsia="黑体"/>
          <w:b/>
          <w:spacing w:val="1"/>
          <w:sz w:val="32"/>
          <w:szCs w:val="32"/>
          <w:highlight w:val="none"/>
          <w:lang w:eastAsia="zh-CN"/>
        </w:rPr>
        <w:t>责任与保险</w:t>
      </w:r>
      <w:bookmarkEnd w:id="517"/>
      <w:bookmarkEnd w:id="518"/>
      <w:bookmarkEnd w:id="519"/>
      <w:bookmarkEnd w:id="520"/>
      <w:bookmarkEnd w:id="521"/>
      <w:bookmarkEnd w:id="522"/>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23" w:name="_Toc508201332"/>
      <w:bookmarkStart w:id="524" w:name="_Toc508200395"/>
      <w:bookmarkStart w:id="525" w:name="_Toc506006115"/>
      <w:bookmarkStart w:id="526" w:name="_Toc20422"/>
      <w:bookmarkStart w:id="527" w:name="_Toc12487"/>
      <w:r>
        <w:rPr>
          <w:rFonts w:ascii="Times New Roman" w:hAnsi="Times New Roman" w:eastAsia="黑体"/>
          <w:sz w:val="28"/>
          <w:szCs w:val="21"/>
          <w:highlight w:val="none"/>
          <w:lang w:eastAsia="zh-CN"/>
        </w:rPr>
        <w:t>9.1 工作质量责任</w:t>
      </w:r>
      <w:bookmarkEnd w:id="523"/>
      <w:bookmarkEnd w:id="524"/>
      <w:bookmarkEnd w:id="525"/>
      <w:bookmarkEnd w:id="526"/>
      <w:bookmarkEnd w:id="527"/>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9.1.1</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工作质量应满足法律规定、规范标准、合同约定和委托人要求等。</w:t>
      </w:r>
    </w:p>
    <w:p>
      <w:pPr>
        <w:pStyle w:val="12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9.1.2</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应做好</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的质量与技术管理工作，</w:t>
      </w:r>
      <w:r>
        <w:rPr>
          <w:rFonts w:ascii="Times New Roman" w:hAnsi="Times New Roman" w:eastAsia="宋体"/>
          <w:spacing w:val="1"/>
          <w:sz w:val="24"/>
          <w:szCs w:val="24"/>
          <w:highlight w:val="none"/>
          <w:lang w:eastAsia="zh-CN"/>
        </w:rPr>
        <w:t>加强</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全过程的质量控制，建立完整的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成果文件的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、复核、审核、会签和</w:t>
      </w:r>
      <w:r>
        <w:rPr>
          <w:rFonts w:ascii="Times New Roman" w:hAnsi="Times New Roman" w:eastAsia="宋体"/>
          <w:sz w:val="24"/>
          <w:szCs w:val="24"/>
          <w:highlight w:val="none"/>
          <w:lang w:eastAsia="zh-CN"/>
        </w:rPr>
        <w:t>批准制度，明确各阶段的责任人。</w:t>
      </w:r>
    </w:p>
    <w:p>
      <w:pPr>
        <w:pStyle w:val="12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9.1.3</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应按合同约定对</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进行全过程的质量检查和检验，并作详细记录，编制</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工作质量报表，报送委托人审查。</w:t>
      </w:r>
    </w:p>
    <w:p>
      <w:pPr>
        <w:pStyle w:val="12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9.1.4</w:t>
      </w:r>
      <w:r>
        <w:rPr>
          <w:rFonts w:ascii="Times New Roman" w:hAnsi="Times New Roman" w:eastAsia="宋体"/>
          <w:spacing w:val="-2"/>
          <w:sz w:val="24"/>
          <w:szCs w:val="24"/>
          <w:highlight w:val="none"/>
          <w:lang w:eastAsia="zh-CN"/>
        </w:rPr>
        <w:t>委托人有权对</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工作质量进行检查和审核。</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应为委托人的检查和检验提供方</w:t>
      </w:r>
      <w:r>
        <w:rPr>
          <w:rFonts w:ascii="Times New Roman" w:hAnsi="Times New Roman" w:eastAsia="宋体"/>
          <w:spacing w:val="1"/>
          <w:sz w:val="24"/>
          <w:szCs w:val="24"/>
          <w:highlight w:val="none"/>
          <w:lang w:eastAsia="zh-CN"/>
        </w:rPr>
        <w:t>便，包括委托人到</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场地或合同约定的其他地方进行察看，查阅、审核</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的原始记录和其</w:t>
      </w:r>
      <w:r>
        <w:rPr>
          <w:rFonts w:ascii="Times New Roman" w:hAnsi="Times New Roman" w:eastAsia="宋体"/>
          <w:sz w:val="24"/>
          <w:szCs w:val="24"/>
          <w:highlight w:val="none"/>
          <w:lang w:eastAsia="zh-CN"/>
        </w:rPr>
        <w:t>他文件。委托人的检查和审核，不免除</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按合同约定应负的责任。</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28" w:name="_Toc506006116"/>
      <w:bookmarkStart w:id="529" w:name="_Toc508200396"/>
      <w:bookmarkStart w:id="530" w:name="_Toc508201333"/>
      <w:bookmarkStart w:id="531" w:name="_Toc16953"/>
      <w:bookmarkStart w:id="532" w:name="_Toc796"/>
      <w:r>
        <w:rPr>
          <w:rFonts w:ascii="Times New Roman" w:hAnsi="Times New Roman" w:eastAsia="黑体"/>
          <w:sz w:val="28"/>
          <w:szCs w:val="21"/>
          <w:highlight w:val="none"/>
          <w:lang w:eastAsia="zh-CN"/>
        </w:rPr>
        <w:t xml:space="preserve">9.2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成果文件错误责任</w:t>
      </w:r>
      <w:bookmarkEnd w:id="528"/>
      <w:bookmarkEnd w:id="529"/>
      <w:bookmarkEnd w:id="530"/>
      <w:bookmarkEnd w:id="531"/>
      <w:bookmarkEnd w:id="532"/>
    </w:p>
    <w:p>
      <w:pPr>
        <w:pStyle w:val="12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9.2.1</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成果文件存在错误、遗漏、含混、矛盾、不充分之处或其他缺陷，无论</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是否通过了委托人审查或审查机构审查，</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均应自费对前述问题带来的缺陷和工程问题进行改正，</w:t>
      </w:r>
      <w:r>
        <w:rPr>
          <w:rFonts w:ascii="Times New Roman" w:hAnsi="Times New Roman" w:eastAsia="宋体"/>
          <w:sz w:val="24"/>
          <w:szCs w:val="24"/>
          <w:highlight w:val="none"/>
          <w:lang w:eastAsia="zh-CN"/>
        </w:rPr>
        <w:t>但因第</w:t>
      </w:r>
      <w:r>
        <w:rPr>
          <w:rFonts w:ascii="Times New Roman" w:hAnsi="Times New Roman"/>
          <w:sz w:val="24"/>
          <w:szCs w:val="24"/>
          <w:highlight w:val="none"/>
          <w:lang w:eastAsia="zh-CN"/>
        </w:rPr>
        <w:t>1.6.2</w:t>
      </w:r>
      <w:r>
        <w:rPr>
          <w:rFonts w:ascii="Times New Roman" w:hAnsi="Times New Roman" w:eastAsia="宋体"/>
          <w:sz w:val="24"/>
          <w:szCs w:val="24"/>
          <w:highlight w:val="none"/>
          <w:lang w:eastAsia="zh-CN"/>
        </w:rPr>
        <w:t>项约定由委托人提供的文件错误导致的除外。</w:t>
      </w:r>
    </w:p>
    <w:p>
      <w:pPr>
        <w:pStyle w:val="12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9.2.2</w:t>
      </w:r>
      <w:r>
        <w:rPr>
          <w:rFonts w:ascii="Times New Roman" w:hAnsi="Times New Roman" w:eastAsia="宋体"/>
          <w:spacing w:val="-2"/>
          <w:sz w:val="24"/>
          <w:szCs w:val="24"/>
          <w:highlight w:val="none"/>
          <w:lang w:eastAsia="zh-CN"/>
        </w:rPr>
        <w:t>因</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原因造成</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成果文件不合格的，委托人有权要求</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采取补救措施，直至达</w:t>
      </w:r>
      <w:r>
        <w:rPr>
          <w:rFonts w:ascii="Times New Roman" w:hAnsi="Times New Roman" w:eastAsia="宋体"/>
          <w:sz w:val="24"/>
          <w:szCs w:val="24"/>
          <w:highlight w:val="none"/>
          <w:lang w:eastAsia="zh-CN"/>
        </w:rPr>
        <w:t>到合同要求的质量标准，并按第</w:t>
      </w:r>
      <w:r>
        <w:rPr>
          <w:rFonts w:ascii="Times New Roman" w:hAnsi="Times New Roman"/>
          <w:sz w:val="24"/>
          <w:szCs w:val="24"/>
          <w:highlight w:val="none"/>
          <w:lang w:eastAsia="zh-CN"/>
        </w:rPr>
        <w:t>14.1</w:t>
      </w:r>
      <w:r>
        <w:rPr>
          <w:rFonts w:ascii="Times New Roman" w:hAnsi="Times New Roman" w:eastAsia="宋体"/>
          <w:sz w:val="24"/>
          <w:szCs w:val="24"/>
          <w:highlight w:val="none"/>
          <w:lang w:eastAsia="zh-CN"/>
        </w:rPr>
        <w:t>款的约定承担责任。</w:t>
      </w:r>
    </w:p>
    <w:p>
      <w:pPr>
        <w:pStyle w:val="12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9.2.3</w:t>
      </w:r>
      <w:r>
        <w:rPr>
          <w:rFonts w:ascii="Times New Roman" w:hAnsi="Times New Roman" w:eastAsia="宋体"/>
          <w:spacing w:val="-2"/>
          <w:sz w:val="24"/>
          <w:szCs w:val="24"/>
          <w:highlight w:val="none"/>
          <w:lang w:eastAsia="zh-CN"/>
        </w:rPr>
        <w:t>因委托人原因造成</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成果文件不合格的，</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应当采取补救措施，直至达到合同要求</w:t>
      </w:r>
      <w:r>
        <w:rPr>
          <w:rFonts w:ascii="Times New Roman" w:hAnsi="Times New Roman" w:eastAsia="宋体"/>
          <w:sz w:val="24"/>
          <w:szCs w:val="24"/>
          <w:highlight w:val="none"/>
          <w:lang w:eastAsia="zh-CN"/>
        </w:rPr>
        <w:t>的质量标准，由此造成的</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费用增加和（或）</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期限延误由委托人承担。</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33" w:name="_Toc24083"/>
      <w:bookmarkStart w:id="534" w:name="_Toc506006117"/>
      <w:bookmarkStart w:id="535" w:name="_Toc508200397"/>
      <w:bookmarkStart w:id="536" w:name="_Toc508201334"/>
      <w:bookmarkStart w:id="537" w:name="_Toc781"/>
      <w:r>
        <w:rPr>
          <w:rFonts w:ascii="Times New Roman" w:hAnsi="Times New Roman" w:eastAsia="黑体"/>
          <w:sz w:val="28"/>
          <w:szCs w:val="21"/>
          <w:highlight w:val="none"/>
          <w:lang w:eastAsia="zh-CN"/>
        </w:rPr>
        <w:t xml:space="preserve">9.3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责任主体</w:t>
      </w:r>
      <w:bookmarkEnd w:id="533"/>
      <w:bookmarkEnd w:id="534"/>
      <w:bookmarkEnd w:id="535"/>
      <w:bookmarkEnd w:id="536"/>
      <w:bookmarkEnd w:id="537"/>
    </w:p>
    <w:p>
      <w:pPr>
        <w:pStyle w:val="123"/>
        <w:spacing w:before="0" w:after="0" w:line="440" w:lineRule="atLeast"/>
        <w:ind w:firstLine="472" w:firstLineChars="200"/>
        <w:rPr>
          <w:rFonts w:ascii="Times New Roman" w:hAnsi="Times New Roman" w:eastAsia="宋体"/>
          <w:sz w:val="24"/>
          <w:szCs w:val="24"/>
          <w:highlight w:val="none"/>
          <w:lang w:eastAsia="zh-CN"/>
        </w:rPr>
      </w:pP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应运用一切合理的专业技术、知识技能和项目经验，按照职业道德准则和行业</w:t>
      </w:r>
      <w:r>
        <w:rPr>
          <w:rFonts w:ascii="Times New Roman" w:hAnsi="Times New Roman" w:eastAsia="宋体"/>
          <w:sz w:val="24"/>
          <w:szCs w:val="24"/>
          <w:highlight w:val="none"/>
          <w:lang w:eastAsia="zh-CN"/>
        </w:rPr>
        <w:t>公认标准尽其全部职责，勤勉、谨慎、公正地履行其在本合同项下的责任和义务。</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38" w:name="_Toc30373"/>
      <w:bookmarkStart w:id="539" w:name="_Toc3346"/>
      <w:r>
        <w:rPr>
          <w:rFonts w:ascii="Times New Roman" w:hAnsi="Times New Roman" w:eastAsia="黑体"/>
          <w:sz w:val="28"/>
          <w:szCs w:val="21"/>
          <w:highlight w:val="none"/>
          <w:lang w:eastAsia="zh-CN"/>
        </w:rPr>
        <w:t xml:space="preserve">9.4 </w:t>
      </w:r>
      <w:r>
        <w:rPr>
          <w:rFonts w:hint="eastAsia" w:ascii="Times New Roman" w:hAnsi="Times New Roman" w:eastAsia="黑体"/>
          <w:sz w:val="28"/>
          <w:szCs w:val="21"/>
          <w:highlight w:val="none"/>
          <w:lang w:eastAsia="zh-CN"/>
        </w:rPr>
        <w:t>保险</w:t>
      </w:r>
      <w:bookmarkEnd w:id="538"/>
      <w:bookmarkEnd w:id="539"/>
      <w:r>
        <w:rPr>
          <w:rFonts w:ascii="Times New Roman" w:hAnsi="Times New Roman" w:eastAsia="黑体"/>
          <w:sz w:val="28"/>
          <w:szCs w:val="21"/>
          <w:highlight w:val="none"/>
          <w:lang w:eastAsia="zh-CN"/>
        </w:rPr>
        <w:t xml:space="preserve"> </w:t>
      </w:r>
    </w:p>
    <w:p>
      <w:pPr>
        <w:pStyle w:val="123"/>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除专用合同条款另有约定外，服务人宜具有委托人认可的、履行本合同所需要的工程相关保险并使其于合同责任期内保持有效。</w:t>
      </w:r>
      <w:r>
        <w:rPr>
          <w:rFonts w:ascii="Times New Roman" w:hAnsi="Times New Roman" w:eastAsia="宋体"/>
          <w:sz w:val="24"/>
          <w:szCs w:val="24"/>
          <w:highlight w:val="none"/>
          <w:lang w:eastAsia="zh-CN"/>
        </w:rPr>
        <w:t xml:space="preserve"> </w:t>
      </w:r>
    </w:p>
    <w:p>
      <w:pPr>
        <w:pStyle w:val="123"/>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工程相关保险应承担由于服务人的疏忽或过失而引发的工程质量事故所造成的建设工程本身的物质损失以及第三者人身伤亡、财产损失或费用的赔偿责任。</w:t>
      </w:r>
    </w:p>
    <w:p>
      <w:pPr>
        <w:pStyle w:val="107"/>
        <w:spacing w:before="260" w:after="260" w:line="440" w:lineRule="atLeast"/>
        <w:rPr>
          <w:rFonts w:ascii="Times New Roman" w:hAnsi="Times New Roman" w:eastAsia="黑体"/>
          <w:b/>
          <w:spacing w:val="1"/>
          <w:sz w:val="32"/>
          <w:szCs w:val="32"/>
          <w:highlight w:val="none"/>
          <w:lang w:eastAsia="zh-CN"/>
        </w:rPr>
      </w:pPr>
      <w:bookmarkStart w:id="540" w:name="_Toc508201335"/>
      <w:bookmarkStart w:id="541" w:name="_Toc506006119"/>
      <w:bookmarkStart w:id="542" w:name="_Toc508200398"/>
      <w:bookmarkStart w:id="543" w:name="_Toc4731"/>
      <w:bookmarkStart w:id="544" w:name="_Toc513817610"/>
      <w:bookmarkStart w:id="545" w:name="_Toc2661"/>
      <w:r>
        <w:rPr>
          <w:rFonts w:ascii="Times New Roman" w:hAnsi="Times New Roman" w:eastAsia="黑体"/>
          <w:b/>
          <w:spacing w:val="1"/>
          <w:sz w:val="32"/>
          <w:szCs w:val="32"/>
          <w:highlight w:val="none"/>
          <w:lang w:eastAsia="zh-CN"/>
        </w:rPr>
        <w:t>10. 施工期间配合</w:t>
      </w:r>
      <w:bookmarkEnd w:id="540"/>
      <w:bookmarkEnd w:id="541"/>
      <w:bookmarkEnd w:id="542"/>
      <w:bookmarkEnd w:id="543"/>
      <w:bookmarkEnd w:id="544"/>
      <w:bookmarkEnd w:id="545"/>
    </w:p>
    <w:p>
      <w:pPr>
        <w:pStyle w:val="123"/>
        <w:spacing w:before="0" w:after="0" w:line="440" w:lineRule="atLeast"/>
        <w:ind w:firstLine="472" w:firstLineChars="200"/>
        <w:rPr>
          <w:rFonts w:ascii="Times New Roman" w:hAnsi="Times New Roman" w:eastAsia="宋体"/>
          <w:spacing w:val="-2"/>
          <w:sz w:val="24"/>
          <w:szCs w:val="24"/>
          <w:highlight w:val="none"/>
          <w:lang w:eastAsia="zh-CN"/>
        </w:rPr>
      </w:pPr>
      <w:r>
        <w:rPr>
          <w:rFonts w:ascii="Times New Roman" w:hAnsi="Times New Roman" w:eastAsia="宋体"/>
          <w:spacing w:val="-2"/>
          <w:sz w:val="24"/>
          <w:szCs w:val="24"/>
          <w:highlight w:val="none"/>
          <w:lang w:eastAsia="zh-CN"/>
        </w:rPr>
        <w:t>10.1 施工配合指</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配合施工承包人，在施工期间提供的</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或其他配合工作，直至工程通过竣工验收为止。</w:t>
      </w:r>
    </w:p>
    <w:p>
      <w:pPr>
        <w:pStyle w:val="123"/>
        <w:spacing w:before="0" w:after="0" w:line="440" w:lineRule="atLeast"/>
        <w:ind w:firstLine="472" w:firstLineChars="200"/>
        <w:rPr>
          <w:rFonts w:ascii="Times New Roman" w:hAnsi="Times New Roman" w:eastAsia="宋体"/>
          <w:spacing w:val="-2"/>
          <w:sz w:val="24"/>
          <w:szCs w:val="24"/>
          <w:highlight w:val="none"/>
          <w:lang w:eastAsia="zh-CN"/>
        </w:rPr>
      </w:pPr>
      <w:r>
        <w:rPr>
          <w:rFonts w:ascii="Times New Roman" w:hAnsi="Times New Roman" w:eastAsia="宋体"/>
          <w:spacing w:val="-2"/>
          <w:sz w:val="24"/>
          <w:szCs w:val="24"/>
          <w:highlight w:val="none"/>
          <w:lang w:eastAsia="zh-CN"/>
        </w:rPr>
        <w:t>10.2 除专用合同条款另有约定外，委托人应为</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派赴施工现场的工作人员，在施工期间提供办公房间、办公桌椅、互联网接口、冷暖设施、生活设施、进出现场交通服务和其他便利条件。</w:t>
      </w:r>
    </w:p>
    <w:p>
      <w:pPr>
        <w:pStyle w:val="123"/>
        <w:spacing w:before="0" w:after="0" w:line="440" w:lineRule="atLeast"/>
        <w:ind w:firstLine="472" w:firstLineChars="200"/>
        <w:rPr>
          <w:rFonts w:ascii="Times New Roman" w:hAnsi="Times New Roman" w:eastAsia="宋体"/>
          <w:spacing w:val="-2"/>
          <w:sz w:val="24"/>
          <w:szCs w:val="24"/>
          <w:highlight w:val="none"/>
          <w:lang w:eastAsia="zh-CN"/>
        </w:rPr>
      </w:pPr>
      <w:r>
        <w:rPr>
          <w:rFonts w:ascii="Times New Roman" w:hAnsi="Times New Roman" w:eastAsia="宋体"/>
          <w:spacing w:val="-2"/>
          <w:sz w:val="24"/>
          <w:szCs w:val="24"/>
          <w:highlight w:val="none"/>
          <w:lang w:eastAsia="zh-CN"/>
        </w:rPr>
        <w:t>10.3</w:t>
      </w:r>
      <w:r>
        <w:rPr>
          <w:rFonts w:hint="eastAsia" w:ascii="Times New Roman" w:hAnsi="Times New Roman" w:eastAsia="宋体"/>
          <w:spacing w:val="-2"/>
          <w:sz w:val="24"/>
          <w:szCs w:val="24"/>
          <w:highlight w:val="none"/>
          <w:lang w:eastAsia="zh-CN"/>
        </w:rPr>
        <w:t>服务人应在本工程的施工期间，积极提供服务，包括并不限于服务技术交底、施工现场服务、参与施工过程验收、参与投产试车（试运行）、参与工程竣工验收等工作。</w:t>
      </w:r>
    </w:p>
    <w:p>
      <w:pPr>
        <w:pStyle w:val="123"/>
        <w:spacing w:before="0" w:after="0" w:line="440" w:lineRule="atLeast"/>
        <w:ind w:firstLine="472" w:firstLineChars="200"/>
        <w:rPr>
          <w:rFonts w:ascii="Times New Roman" w:hAnsi="Times New Roman" w:eastAsia="宋体"/>
          <w:spacing w:val="-2"/>
          <w:sz w:val="24"/>
          <w:szCs w:val="24"/>
          <w:highlight w:val="none"/>
          <w:lang w:eastAsia="zh-CN"/>
        </w:rPr>
      </w:pPr>
      <w:r>
        <w:rPr>
          <w:rFonts w:ascii="Times New Roman" w:hAnsi="Times New Roman" w:eastAsia="宋体"/>
          <w:spacing w:val="-2"/>
          <w:sz w:val="24"/>
          <w:szCs w:val="24"/>
          <w:highlight w:val="none"/>
          <w:lang w:eastAsia="zh-CN"/>
        </w:rPr>
        <w:t>10.4委托人应当组织</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技术交底会，由</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向委托人、监理人和施工承包人等进行</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交底，对本工程的</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意图、</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成果文件和施工要求等进行系统地说明和解释。</w:t>
      </w:r>
    </w:p>
    <w:p>
      <w:pPr>
        <w:pStyle w:val="123"/>
        <w:spacing w:before="0" w:after="0" w:line="440" w:lineRule="atLeast"/>
        <w:ind w:firstLine="472" w:firstLineChars="200"/>
        <w:rPr>
          <w:rFonts w:ascii="Times New Roman" w:hAnsi="Times New Roman" w:eastAsia="宋体"/>
          <w:spacing w:val="-2"/>
          <w:sz w:val="24"/>
          <w:szCs w:val="24"/>
          <w:highlight w:val="none"/>
          <w:lang w:eastAsia="zh-CN"/>
        </w:rPr>
      </w:pPr>
      <w:r>
        <w:rPr>
          <w:rFonts w:ascii="Times New Roman" w:hAnsi="Times New Roman" w:eastAsia="宋体"/>
          <w:spacing w:val="-2"/>
          <w:sz w:val="24"/>
          <w:szCs w:val="24"/>
          <w:highlight w:val="none"/>
          <w:lang w:eastAsia="zh-CN"/>
        </w:rPr>
        <w:t>10.5工程施工完毕后，委托人应当组织投产试车（试运行）和工程竣工验收，</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参加验收并出具本单位的验收结论。如因</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原因致使工程不合格的，</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应当承担违约责任，免费修改</w:t>
      </w:r>
      <w:r>
        <w:rPr>
          <w:rFonts w:hint="eastAsia" w:ascii="Times New Roman" w:hAnsi="Times New Roman" w:eastAsia="宋体"/>
          <w:spacing w:val="-2"/>
          <w:sz w:val="24"/>
          <w:szCs w:val="24"/>
          <w:highlight w:val="none"/>
          <w:lang w:eastAsia="zh-CN"/>
        </w:rPr>
        <w:t>服务</w:t>
      </w:r>
      <w:r>
        <w:rPr>
          <w:rFonts w:ascii="Times New Roman" w:hAnsi="Times New Roman" w:eastAsia="宋体"/>
          <w:spacing w:val="-2"/>
          <w:sz w:val="24"/>
          <w:szCs w:val="24"/>
          <w:highlight w:val="none"/>
          <w:lang w:eastAsia="zh-CN"/>
        </w:rPr>
        <w:t>成果文件和赔偿委托人由此产生的经济损失。</w:t>
      </w:r>
    </w:p>
    <w:p>
      <w:pPr>
        <w:pStyle w:val="107"/>
        <w:spacing w:before="260" w:after="260" w:line="440" w:lineRule="atLeast"/>
        <w:rPr>
          <w:rFonts w:ascii="Times New Roman" w:hAnsi="Times New Roman" w:eastAsia="黑体"/>
          <w:b/>
          <w:spacing w:val="1"/>
          <w:sz w:val="32"/>
          <w:szCs w:val="32"/>
          <w:highlight w:val="none"/>
          <w:lang w:eastAsia="zh-CN"/>
        </w:rPr>
      </w:pPr>
      <w:bookmarkStart w:id="546" w:name="_Toc506006120"/>
      <w:bookmarkStart w:id="547" w:name="_Toc513817611"/>
      <w:bookmarkStart w:id="548" w:name="_Toc508200399"/>
      <w:bookmarkStart w:id="549" w:name="_Toc21874"/>
      <w:bookmarkStart w:id="550" w:name="_Toc508201336"/>
      <w:bookmarkStart w:id="551" w:name="_Toc20615"/>
      <w:r>
        <w:rPr>
          <w:rFonts w:ascii="Times New Roman" w:hAnsi="Times New Roman" w:eastAsia="黑体"/>
          <w:b/>
          <w:spacing w:val="1"/>
          <w:sz w:val="32"/>
          <w:szCs w:val="32"/>
          <w:highlight w:val="none"/>
          <w:lang w:eastAsia="zh-CN"/>
        </w:rPr>
        <w:t>11. 合同变更</w:t>
      </w:r>
      <w:bookmarkEnd w:id="546"/>
      <w:bookmarkEnd w:id="547"/>
      <w:bookmarkEnd w:id="548"/>
      <w:bookmarkEnd w:id="549"/>
      <w:bookmarkEnd w:id="550"/>
      <w:bookmarkEnd w:id="551"/>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52" w:name="_Toc508200400"/>
      <w:bookmarkStart w:id="553" w:name="_Toc23332"/>
      <w:bookmarkStart w:id="554" w:name="_Toc506006121"/>
      <w:bookmarkStart w:id="555" w:name="_Toc11180"/>
      <w:bookmarkStart w:id="556" w:name="_Toc508201337"/>
      <w:r>
        <w:rPr>
          <w:rFonts w:ascii="Times New Roman" w:hAnsi="Times New Roman" w:eastAsia="黑体"/>
          <w:sz w:val="28"/>
          <w:szCs w:val="21"/>
          <w:highlight w:val="none"/>
          <w:lang w:eastAsia="zh-CN"/>
        </w:rPr>
        <w:t>11.1 变更情形</w:t>
      </w:r>
      <w:bookmarkEnd w:id="552"/>
      <w:bookmarkEnd w:id="553"/>
      <w:bookmarkEnd w:id="554"/>
      <w:bookmarkEnd w:id="555"/>
      <w:bookmarkEnd w:id="556"/>
    </w:p>
    <w:p>
      <w:pPr>
        <w:pStyle w:val="124"/>
        <w:spacing w:before="0" w:after="0" w:line="440" w:lineRule="atLeast"/>
        <w:ind w:firstLine="476" w:firstLineChars="200"/>
        <w:rPr>
          <w:rFonts w:ascii="Times New Roman" w:hAnsi="Times New Roman"/>
          <w:sz w:val="24"/>
          <w:szCs w:val="24"/>
          <w:highlight w:val="none"/>
          <w:lang w:eastAsia="zh-CN"/>
        </w:rPr>
      </w:pPr>
      <w:r>
        <w:rPr>
          <w:rFonts w:ascii="Times New Roman" w:hAnsi="Times New Roman"/>
          <w:b/>
          <w:spacing w:val="-1"/>
          <w:sz w:val="24"/>
          <w:szCs w:val="24"/>
          <w:highlight w:val="none"/>
          <w:lang w:eastAsia="zh-CN"/>
        </w:rPr>
        <w:t>11.1.1</w:t>
      </w:r>
      <w:r>
        <w:rPr>
          <w:rFonts w:ascii="Times New Roman" w:hAnsi="Times New Roman" w:eastAsia="宋体"/>
          <w:spacing w:val="1"/>
          <w:sz w:val="24"/>
          <w:szCs w:val="24"/>
          <w:highlight w:val="none"/>
          <w:lang w:eastAsia="zh-CN"/>
        </w:rPr>
        <w:t>合同履行中发生下述情形时，合同一方均可向对方提出变更请求，经双方协商一致</w:t>
      </w:r>
      <w:r>
        <w:rPr>
          <w:rFonts w:ascii="Times New Roman" w:hAnsi="Times New Roman" w:eastAsia="宋体"/>
          <w:sz w:val="24"/>
          <w:szCs w:val="24"/>
          <w:highlight w:val="none"/>
          <w:lang w:eastAsia="zh-CN"/>
        </w:rPr>
        <w:t>后进行变更，</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期限和</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费用的调整方法在专用合同条款中约定。</w:t>
      </w:r>
    </w:p>
    <w:p>
      <w:pPr>
        <w:pStyle w:val="124"/>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范围发生变化；</w:t>
      </w:r>
    </w:p>
    <w:p>
      <w:pPr>
        <w:pStyle w:val="124"/>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）除不可抗力外，非</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的原因引起的周期延误；</w:t>
      </w:r>
    </w:p>
    <w:p>
      <w:pPr>
        <w:pStyle w:val="124"/>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3</w:t>
      </w:r>
      <w:r>
        <w:rPr>
          <w:rFonts w:ascii="Times New Roman" w:hAnsi="Times New Roman" w:eastAsia="宋体"/>
          <w:sz w:val="24"/>
          <w:szCs w:val="24"/>
          <w:highlight w:val="none"/>
          <w:lang w:eastAsia="zh-CN"/>
        </w:rPr>
        <w:t>）非</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的原因，全部或部分重复进行</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w:t>
      </w:r>
    </w:p>
    <w:p>
      <w:pPr>
        <w:pStyle w:val="124"/>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4</w:t>
      </w:r>
      <w:r>
        <w:rPr>
          <w:rFonts w:ascii="Times New Roman" w:hAnsi="Times New Roman" w:eastAsia="宋体"/>
          <w:sz w:val="24"/>
          <w:szCs w:val="24"/>
          <w:highlight w:val="none"/>
          <w:lang w:eastAsia="zh-CN"/>
        </w:rPr>
        <w:t>）非</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的原因，暂停</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及恢复</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w:t>
      </w:r>
    </w:p>
    <w:p>
      <w:pPr>
        <w:pStyle w:val="124"/>
        <w:spacing w:before="0" w:after="0" w:line="440" w:lineRule="atLeast"/>
        <w:ind w:firstLine="476" w:firstLineChars="200"/>
        <w:rPr>
          <w:rFonts w:ascii="Times New Roman" w:hAnsi="Times New Roman"/>
          <w:sz w:val="24"/>
          <w:szCs w:val="24"/>
          <w:highlight w:val="none"/>
          <w:lang w:eastAsia="zh-CN"/>
        </w:rPr>
      </w:pPr>
      <w:r>
        <w:rPr>
          <w:rFonts w:ascii="Times New Roman" w:hAnsi="Times New Roman"/>
          <w:b/>
          <w:spacing w:val="-1"/>
          <w:sz w:val="24"/>
          <w:szCs w:val="24"/>
          <w:highlight w:val="none"/>
          <w:lang w:eastAsia="zh-CN"/>
        </w:rPr>
        <w:t>11.1.2</w:t>
      </w:r>
      <w:r>
        <w:rPr>
          <w:rFonts w:ascii="Times New Roman" w:hAnsi="Times New Roman" w:eastAsia="宋体"/>
          <w:spacing w:val="-5"/>
          <w:sz w:val="24"/>
          <w:szCs w:val="24"/>
          <w:highlight w:val="none"/>
          <w:lang w:eastAsia="zh-CN"/>
        </w:rPr>
        <w:t>基准日后，因颁布新的或修订原有法律、法规、规范和标准等引发合同变更情形的，</w:t>
      </w:r>
      <w:r>
        <w:rPr>
          <w:rFonts w:ascii="Times New Roman" w:hAnsi="Times New Roman" w:eastAsia="宋体"/>
          <w:sz w:val="24"/>
          <w:szCs w:val="24"/>
          <w:highlight w:val="none"/>
          <w:lang w:eastAsia="zh-CN"/>
        </w:rPr>
        <w:t>按照上述约定进行调整。</w:t>
      </w:r>
    </w:p>
    <w:p>
      <w:pPr>
        <w:pStyle w:val="107"/>
        <w:spacing w:before="260" w:after="260" w:line="440" w:lineRule="atLeast"/>
        <w:ind w:firstLine="117" w:firstLineChars="49"/>
        <w:rPr>
          <w:rFonts w:ascii="Times New Roman" w:hAnsi="Times New Roman" w:eastAsia="黑体"/>
          <w:sz w:val="24"/>
          <w:szCs w:val="24"/>
          <w:highlight w:val="none"/>
          <w:lang w:eastAsia="zh-CN"/>
        </w:rPr>
      </w:pPr>
      <w:bookmarkStart w:id="557" w:name="_Toc506006122"/>
      <w:bookmarkStart w:id="558" w:name="_Toc508200401"/>
      <w:bookmarkStart w:id="559" w:name="_Toc508201338"/>
      <w:bookmarkStart w:id="560" w:name="_Toc16570"/>
      <w:bookmarkStart w:id="561" w:name="_Toc16782"/>
      <w:r>
        <w:rPr>
          <w:rFonts w:ascii="Times New Roman" w:hAnsi="Times New Roman" w:eastAsia="黑体"/>
          <w:sz w:val="24"/>
          <w:szCs w:val="24"/>
          <w:highlight w:val="none"/>
          <w:lang w:eastAsia="zh-CN"/>
        </w:rPr>
        <w:t>11.2 合理化建议</w:t>
      </w:r>
      <w:bookmarkEnd w:id="557"/>
      <w:bookmarkEnd w:id="558"/>
      <w:bookmarkEnd w:id="559"/>
      <w:bookmarkEnd w:id="560"/>
      <w:bookmarkEnd w:id="561"/>
    </w:p>
    <w:p>
      <w:pPr>
        <w:pStyle w:val="125"/>
        <w:spacing w:before="0" w:after="0" w:line="440" w:lineRule="atLeast"/>
        <w:ind w:firstLine="476" w:firstLineChars="200"/>
        <w:rPr>
          <w:rFonts w:ascii="Times New Roman" w:hAnsi="Times New Roman"/>
          <w:sz w:val="24"/>
          <w:szCs w:val="24"/>
          <w:highlight w:val="none"/>
          <w:lang w:eastAsia="zh-CN"/>
        </w:rPr>
      </w:pPr>
      <w:r>
        <w:rPr>
          <w:rFonts w:ascii="Times New Roman" w:hAnsi="Times New Roman"/>
          <w:b/>
          <w:spacing w:val="-1"/>
          <w:sz w:val="24"/>
          <w:szCs w:val="24"/>
          <w:highlight w:val="none"/>
          <w:lang w:eastAsia="zh-CN"/>
        </w:rPr>
        <w:t>11.2.1</w:t>
      </w:r>
      <w:r>
        <w:rPr>
          <w:rFonts w:ascii="Times New Roman" w:hAnsi="Times New Roman" w:eastAsia="宋体"/>
          <w:spacing w:val="1"/>
          <w:sz w:val="24"/>
          <w:szCs w:val="24"/>
          <w:highlight w:val="none"/>
          <w:lang w:eastAsia="zh-CN"/>
        </w:rPr>
        <w:t>合同履行中，</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可对委托人要求提出合理化建议。合理化建议应以书面形式提</w:t>
      </w:r>
      <w:r>
        <w:rPr>
          <w:rFonts w:ascii="Times New Roman" w:hAnsi="Times New Roman" w:eastAsia="宋体"/>
          <w:sz w:val="24"/>
          <w:szCs w:val="24"/>
          <w:highlight w:val="none"/>
          <w:lang w:eastAsia="zh-CN"/>
        </w:rPr>
        <w:t>交委托人，被委托人采纳并构成变更的，执行第</w:t>
      </w:r>
      <w:r>
        <w:rPr>
          <w:rFonts w:ascii="Times New Roman" w:hAnsi="Times New Roman"/>
          <w:spacing w:val="-3"/>
          <w:sz w:val="24"/>
          <w:szCs w:val="24"/>
          <w:highlight w:val="none"/>
          <w:lang w:eastAsia="zh-CN"/>
        </w:rPr>
        <w:t>11.1</w:t>
      </w:r>
      <w:r>
        <w:rPr>
          <w:rFonts w:ascii="Times New Roman" w:hAnsi="Times New Roman" w:eastAsia="宋体"/>
          <w:sz w:val="24"/>
          <w:szCs w:val="24"/>
          <w:highlight w:val="none"/>
          <w:lang w:eastAsia="zh-CN"/>
        </w:rPr>
        <w:t>款约定。</w:t>
      </w:r>
    </w:p>
    <w:p>
      <w:pPr>
        <w:pStyle w:val="125"/>
        <w:spacing w:before="0" w:after="0" w:line="440" w:lineRule="atLeast"/>
        <w:ind w:firstLine="476" w:firstLineChars="200"/>
        <w:rPr>
          <w:rFonts w:ascii="Times New Roman" w:hAnsi="Times New Roman"/>
          <w:sz w:val="24"/>
          <w:szCs w:val="24"/>
          <w:highlight w:val="none"/>
          <w:lang w:eastAsia="zh-CN"/>
        </w:rPr>
      </w:pPr>
      <w:r>
        <w:rPr>
          <w:rFonts w:ascii="Times New Roman" w:hAnsi="Times New Roman"/>
          <w:b/>
          <w:spacing w:val="-1"/>
          <w:sz w:val="24"/>
          <w:szCs w:val="24"/>
          <w:highlight w:val="none"/>
          <w:lang w:eastAsia="zh-CN"/>
        </w:rPr>
        <w:t xml:space="preserve">11.2.2 </w:t>
      </w:r>
      <w:r>
        <w:rPr>
          <w:rFonts w:hint="eastAsia" w:ascii="宋体" w:hAnsi="宋体" w:eastAsia="宋体" w:cs="微软雅黑"/>
          <w:spacing w:val="-1"/>
          <w:sz w:val="24"/>
          <w:szCs w:val="24"/>
          <w:highlight w:val="none"/>
          <w:lang w:eastAsia="zh-CN"/>
        </w:rPr>
        <w:t>服务人提出的合理化建议能给</w:t>
      </w:r>
      <w:r>
        <w:rPr>
          <w:rFonts w:ascii="宋体" w:hAnsi="宋体" w:eastAsia="宋体"/>
          <w:spacing w:val="-1"/>
          <w:sz w:val="24"/>
          <w:szCs w:val="24"/>
          <w:highlight w:val="none"/>
          <w:lang w:eastAsia="zh-CN"/>
        </w:rPr>
        <w:t>委托人增加</w:t>
      </w:r>
      <w:r>
        <w:rPr>
          <w:rFonts w:hint="eastAsia" w:ascii="宋体" w:hAnsi="宋体" w:eastAsia="宋体" w:cs="微软雅黑"/>
          <w:spacing w:val="-1"/>
          <w:sz w:val="24"/>
          <w:szCs w:val="24"/>
          <w:highlight w:val="none"/>
          <w:lang w:eastAsia="zh-CN"/>
        </w:rPr>
        <w:t>收益或减少损失的</w:t>
      </w:r>
      <w:r>
        <w:rPr>
          <w:rFonts w:ascii="宋体" w:hAnsi="宋体" w:eastAsia="宋体"/>
          <w:spacing w:val="-1"/>
          <w:sz w:val="24"/>
          <w:szCs w:val="24"/>
          <w:highlight w:val="none"/>
          <w:lang w:eastAsia="zh-CN"/>
        </w:rPr>
        <w:t>，委托人可以给与奖励，</w:t>
      </w:r>
      <w:r>
        <w:rPr>
          <w:rFonts w:hint="eastAsia" w:ascii="宋体" w:hAnsi="宋体" w:eastAsia="宋体" w:cs="微软雅黑"/>
          <w:spacing w:val="-1"/>
          <w:sz w:val="24"/>
          <w:szCs w:val="24"/>
          <w:highlight w:val="none"/>
          <w:lang w:eastAsia="zh-CN"/>
        </w:rPr>
        <w:t>奖励</w:t>
      </w:r>
      <w:r>
        <w:rPr>
          <w:rFonts w:ascii="宋体" w:hAnsi="宋体" w:eastAsia="宋体"/>
          <w:spacing w:val="1"/>
          <w:sz w:val="24"/>
          <w:szCs w:val="24"/>
          <w:highlight w:val="none"/>
          <w:lang w:eastAsia="zh-CN"/>
        </w:rPr>
        <w:t>的方式</w:t>
      </w:r>
      <w:r>
        <w:rPr>
          <w:rFonts w:ascii="宋体" w:hAnsi="宋体" w:eastAsia="宋体"/>
          <w:sz w:val="24"/>
          <w:szCs w:val="24"/>
          <w:highlight w:val="none"/>
          <w:lang w:eastAsia="zh-CN"/>
        </w:rPr>
        <w:t>在专用</w:t>
      </w:r>
      <w:r>
        <w:rPr>
          <w:rFonts w:ascii="Times New Roman" w:hAnsi="Times New Roman" w:eastAsia="宋体"/>
          <w:sz w:val="24"/>
          <w:szCs w:val="24"/>
          <w:highlight w:val="none"/>
          <w:lang w:eastAsia="zh-CN"/>
        </w:rPr>
        <w:t>合同条款中约定。</w:t>
      </w:r>
    </w:p>
    <w:p>
      <w:pPr>
        <w:pStyle w:val="107"/>
        <w:spacing w:before="260" w:after="260" w:line="440" w:lineRule="atLeast"/>
        <w:rPr>
          <w:rFonts w:ascii="Times New Roman" w:hAnsi="Times New Roman" w:eastAsia="黑体"/>
          <w:b/>
          <w:spacing w:val="1"/>
          <w:sz w:val="32"/>
          <w:szCs w:val="32"/>
          <w:highlight w:val="none"/>
          <w:lang w:eastAsia="zh-CN"/>
        </w:rPr>
      </w:pPr>
      <w:bookmarkStart w:id="562" w:name="_Toc17573"/>
      <w:bookmarkStart w:id="563" w:name="_Toc14887"/>
      <w:bookmarkStart w:id="564" w:name="_Toc506006123"/>
      <w:bookmarkStart w:id="565" w:name="_Toc508201339"/>
      <w:bookmarkStart w:id="566" w:name="_Toc513817612"/>
      <w:r>
        <w:rPr>
          <w:rFonts w:ascii="Times New Roman" w:hAnsi="Times New Roman" w:eastAsia="黑体"/>
          <w:b/>
          <w:spacing w:val="1"/>
          <w:sz w:val="32"/>
          <w:szCs w:val="32"/>
          <w:highlight w:val="none"/>
          <w:lang w:eastAsia="zh-CN"/>
        </w:rPr>
        <w:t>12. 合同价格与支付</w:t>
      </w:r>
      <w:bookmarkEnd w:id="562"/>
      <w:bookmarkEnd w:id="563"/>
      <w:bookmarkEnd w:id="564"/>
      <w:bookmarkEnd w:id="565"/>
      <w:bookmarkEnd w:id="566"/>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67" w:name="_Toc508200402"/>
      <w:bookmarkStart w:id="568" w:name="_Toc506006124"/>
      <w:bookmarkStart w:id="569" w:name="_Toc21966"/>
      <w:bookmarkStart w:id="570" w:name="_Toc508201340"/>
      <w:bookmarkStart w:id="571" w:name="_Toc3092"/>
      <w:r>
        <w:rPr>
          <w:rFonts w:ascii="Times New Roman" w:hAnsi="Times New Roman" w:eastAsia="黑体"/>
          <w:sz w:val="28"/>
          <w:szCs w:val="21"/>
          <w:highlight w:val="none"/>
          <w:lang w:eastAsia="zh-CN"/>
        </w:rPr>
        <w:t>12.1 合同价格</w:t>
      </w:r>
      <w:bookmarkEnd w:id="567"/>
      <w:bookmarkEnd w:id="568"/>
      <w:bookmarkEnd w:id="569"/>
      <w:bookmarkEnd w:id="570"/>
      <w:bookmarkEnd w:id="571"/>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12.1.1</w:t>
      </w:r>
      <w:r>
        <w:rPr>
          <w:rFonts w:ascii="Times New Roman" w:hAnsi="Times New Roman" w:eastAsia="宋体"/>
          <w:sz w:val="24"/>
          <w:szCs w:val="24"/>
          <w:highlight w:val="none"/>
          <w:lang w:eastAsia="zh-CN"/>
        </w:rPr>
        <w:t>本合同的价款确定方式、调整方式和风险范围划分，在专用合同条款中约定。</w:t>
      </w:r>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12.1.2</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费用实行委托人签证制度，即</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完成</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项目后通知委托人进行验收，通过验收后由委托人代表对实施的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项目、数量、质量和实施时间签字确认，以此作为计算</w:t>
      </w:r>
      <w:r>
        <w:rPr>
          <w:rFonts w:hint="eastAsia" w:ascii="Times New Roman" w:hAnsi="Times New Roman" w:eastAsia="宋体"/>
          <w:spacing w:val="1"/>
          <w:sz w:val="24"/>
          <w:szCs w:val="24"/>
          <w:highlight w:val="none"/>
          <w:lang w:eastAsia="zh-CN"/>
        </w:rPr>
        <w:t>服务</w:t>
      </w:r>
      <w:r>
        <w:rPr>
          <w:rFonts w:ascii="Times New Roman" w:hAnsi="Times New Roman" w:eastAsia="宋体"/>
          <w:sz w:val="24"/>
          <w:szCs w:val="24"/>
          <w:highlight w:val="none"/>
          <w:lang w:eastAsia="zh-CN"/>
        </w:rPr>
        <w:t>费用的依据之一。</w:t>
      </w:r>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12.1.3</w:t>
      </w:r>
      <w:r>
        <w:rPr>
          <w:rFonts w:ascii="Times New Roman" w:hAnsi="Times New Roman" w:eastAsia="宋体"/>
          <w:spacing w:val="1"/>
          <w:sz w:val="24"/>
          <w:szCs w:val="24"/>
          <w:highlight w:val="none"/>
          <w:lang w:eastAsia="zh-CN"/>
        </w:rPr>
        <w:t>除专用合同条款另有约定外，合同价格应当包括收集资料，踏勘现场，进行</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w:t>
      </w:r>
      <w:r>
        <w:rPr>
          <w:rFonts w:ascii="Times New Roman" w:hAnsi="Times New Roman" w:eastAsia="宋体"/>
          <w:sz w:val="24"/>
          <w:szCs w:val="24"/>
          <w:highlight w:val="none"/>
          <w:lang w:eastAsia="zh-CN"/>
        </w:rPr>
        <w:t>评估、审查等，编制</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成果文件，施工配合等全部费用和国家规定的增值税税金。</w:t>
      </w:r>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12.1.4</w:t>
      </w:r>
      <w:r>
        <w:rPr>
          <w:rFonts w:ascii="Times New Roman" w:hAnsi="Times New Roman" w:eastAsia="宋体"/>
          <w:spacing w:val="1"/>
          <w:sz w:val="24"/>
          <w:szCs w:val="24"/>
          <w:highlight w:val="none"/>
          <w:lang w:eastAsia="zh-CN"/>
        </w:rPr>
        <w:t>委托人要求</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进行外出考察、试验检测、专项</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或专家评审时，相应费用不</w:t>
      </w:r>
      <w:r>
        <w:rPr>
          <w:rFonts w:ascii="Times New Roman" w:hAnsi="Times New Roman" w:eastAsia="宋体"/>
          <w:sz w:val="24"/>
          <w:szCs w:val="24"/>
          <w:highlight w:val="none"/>
          <w:lang w:eastAsia="zh-CN"/>
        </w:rPr>
        <w:t>含在合同价格之中，由委托人另行支付。</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72" w:name="_Toc508201341"/>
      <w:bookmarkStart w:id="573" w:name="_Toc508200403"/>
      <w:bookmarkStart w:id="574" w:name="_Toc5619"/>
      <w:bookmarkStart w:id="575" w:name="_Toc10405"/>
      <w:bookmarkStart w:id="576" w:name="_Toc506006125"/>
      <w:r>
        <w:rPr>
          <w:rFonts w:ascii="Times New Roman" w:hAnsi="Times New Roman" w:eastAsia="黑体"/>
          <w:sz w:val="28"/>
          <w:szCs w:val="21"/>
          <w:highlight w:val="none"/>
          <w:lang w:eastAsia="zh-CN"/>
        </w:rPr>
        <w:t>12.2 定金或预付款</w:t>
      </w:r>
      <w:bookmarkEnd w:id="572"/>
      <w:bookmarkEnd w:id="573"/>
      <w:bookmarkEnd w:id="574"/>
      <w:bookmarkEnd w:id="575"/>
      <w:bookmarkEnd w:id="576"/>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12.2.1</w:t>
      </w:r>
      <w:r>
        <w:rPr>
          <w:rFonts w:ascii="Times New Roman" w:hAnsi="Times New Roman" w:eastAsia="宋体"/>
          <w:spacing w:val="1"/>
          <w:sz w:val="24"/>
          <w:szCs w:val="24"/>
          <w:highlight w:val="none"/>
          <w:lang w:eastAsia="zh-CN"/>
        </w:rPr>
        <w:t>定金或预付款应专用于本工程的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。定金或预付款的额度、支付方式及抵扣方式</w:t>
      </w:r>
      <w:r>
        <w:rPr>
          <w:rFonts w:ascii="Times New Roman" w:hAnsi="Times New Roman" w:eastAsia="宋体"/>
          <w:sz w:val="24"/>
          <w:szCs w:val="24"/>
          <w:highlight w:val="none"/>
          <w:lang w:eastAsia="zh-CN"/>
        </w:rPr>
        <w:t>在专用合同条款中约定。</w:t>
      </w:r>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12.2.2</w:t>
      </w:r>
      <w:r>
        <w:rPr>
          <w:rFonts w:ascii="Times New Roman" w:hAnsi="Times New Roman" w:eastAsia="宋体"/>
          <w:sz w:val="24"/>
          <w:szCs w:val="24"/>
          <w:highlight w:val="none"/>
          <w:lang w:eastAsia="zh-CN"/>
        </w:rPr>
        <w:t>委托人应在收到定金或预付款支付申请后</w:t>
      </w:r>
      <w:r>
        <w:rPr>
          <w:rFonts w:ascii="Times New Roman" w:hAnsi="Times New Roman"/>
          <w:spacing w:val="1"/>
          <w:sz w:val="24"/>
          <w:szCs w:val="24"/>
          <w:highlight w:val="none"/>
          <w:lang w:eastAsia="zh-CN"/>
        </w:rPr>
        <w:t>28</w:t>
      </w:r>
      <w:r>
        <w:rPr>
          <w:rFonts w:ascii="Times New Roman" w:hAnsi="Times New Roman" w:eastAsia="宋体"/>
          <w:sz w:val="24"/>
          <w:szCs w:val="24"/>
          <w:highlight w:val="none"/>
          <w:lang w:eastAsia="zh-CN"/>
        </w:rPr>
        <w:t>天内，将定金或预付款支付给</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应当提供等额的增值税发票。</w:t>
      </w:r>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12.2.3</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完成之前，由于不可抗力或其他非</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的原因解除合同时，定金不予退还。</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77" w:name="_Toc29158"/>
      <w:bookmarkStart w:id="578" w:name="_Toc506006126"/>
      <w:bookmarkStart w:id="579" w:name="_Toc29958"/>
      <w:bookmarkStart w:id="580" w:name="_Toc508201342"/>
      <w:bookmarkStart w:id="581" w:name="_Toc508200404"/>
      <w:r>
        <w:rPr>
          <w:rFonts w:ascii="Times New Roman" w:hAnsi="Times New Roman" w:eastAsia="黑体"/>
          <w:sz w:val="28"/>
          <w:szCs w:val="21"/>
          <w:highlight w:val="none"/>
          <w:lang w:eastAsia="zh-CN"/>
        </w:rPr>
        <w:t>12.3 中期支付</w:t>
      </w:r>
      <w:bookmarkEnd w:id="577"/>
      <w:bookmarkEnd w:id="578"/>
      <w:bookmarkEnd w:id="579"/>
      <w:bookmarkEnd w:id="580"/>
      <w:bookmarkEnd w:id="581"/>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12.3.1</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应按委托人批准或专用合同条款约定的格式及份数，向委托人提交中期支付</w:t>
      </w:r>
      <w:r>
        <w:rPr>
          <w:rFonts w:ascii="Times New Roman" w:hAnsi="Times New Roman" w:eastAsia="宋体"/>
          <w:sz w:val="24"/>
          <w:szCs w:val="24"/>
          <w:highlight w:val="none"/>
          <w:lang w:eastAsia="zh-CN"/>
        </w:rPr>
        <w:t>申请，并附相应的支持性证明文件。</w:t>
      </w:r>
    </w:p>
    <w:p>
      <w:pPr>
        <w:pStyle w:val="12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 xml:space="preserve">12.3.2 </w:t>
      </w:r>
      <w:r>
        <w:rPr>
          <w:rFonts w:ascii="Times New Roman" w:hAnsi="Times New Roman" w:eastAsia="宋体"/>
          <w:sz w:val="24"/>
          <w:szCs w:val="24"/>
          <w:highlight w:val="none"/>
          <w:lang w:eastAsia="zh-CN"/>
        </w:rPr>
        <w:t>委托人应在收到中期支付申请后的</w:t>
      </w:r>
      <w:r>
        <w:rPr>
          <w:rFonts w:ascii="Times New Roman" w:hAnsi="Times New Roman"/>
          <w:spacing w:val="1"/>
          <w:sz w:val="24"/>
          <w:szCs w:val="24"/>
          <w:highlight w:val="none"/>
          <w:lang w:eastAsia="zh-CN"/>
        </w:rPr>
        <w:t xml:space="preserve"> 28</w:t>
      </w:r>
      <w:r>
        <w:rPr>
          <w:rFonts w:ascii="Times New Roman" w:hAnsi="Times New Roman" w:eastAsia="宋体"/>
          <w:spacing w:val="-4"/>
          <w:sz w:val="24"/>
          <w:szCs w:val="24"/>
          <w:highlight w:val="none"/>
          <w:lang w:eastAsia="zh-CN"/>
        </w:rPr>
        <w:t>天内，将应付款项支付给</w:t>
      </w:r>
      <w:r>
        <w:rPr>
          <w:rFonts w:hint="eastAsia" w:ascii="Times New Roman" w:hAnsi="Times New Roman" w:eastAsia="宋体"/>
          <w:spacing w:val="-4"/>
          <w:sz w:val="24"/>
          <w:szCs w:val="24"/>
          <w:highlight w:val="none"/>
          <w:lang w:eastAsia="zh-CN"/>
        </w:rPr>
        <w:t>服务人</w:t>
      </w:r>
      <w:r>
        <w:rPr>
          <w:rFonts w:ascii="Times New Roman" w:hAnsi="Times New Roman" w:eastAsia="宋体"/>
          <w:spacing w:val="-4"/>
          <w:sz w:val="24"/>
          <w:szCs w:val="24"/>
          <w:highlight w:val="none"/>
          <w:lang w:eastAsia="zh-CN"/>
        </w:rPr>
        <w:t>；</w:t>
      </w:r>
      <w:r>
        <w:rPr>
          <w:rFonts w:hint="eastAsia" w:ascii="Times New Roman" w:hAnsi="Times New Roman" w:eastAsia="宋体"/>
          <w:spacing w:val="-4"/>
          <w:sz w:val="24"/>
          <w:szCs w:val="24"/>
          <w:highlight w:val="none"/>
          <w:lang w:eastAsia="zh-CN"/>
        </w:rPr>
        <w:t>服务人</w:t>
      </w:r>
      <w:r>
        <w:rPr>
          <w:rFonts w:ascii="Times New Roman" w:hAnsi="Times New Roman" w:eastAsia="宋体"/>
          <w:spacing w:val="-4"/>
          <w:sz w:val="24"/>
          <w:szCs w:val="24"/>
          <w:highlight w:val="none"/>
          <w:lang w:eastAsia="zh-CN"/>
        </w:rPr>
        <w:t>应当</w:t>
      </w:r>
      <w:r>
        <w:rPr>
          <w:rFonts w:ascii="Times New Roman" w:hAnsi="Times New Roman" w:eastAsia="宋体"/>
          <w:spacing w:val="1"/>
          <w:sz w:val="24"/>
          <w:szCs w:val="24"/>
          <w:highlight w:val="none"/>
          <w:lang w:eastAsia="zh-CN"/>
        </w:rPr>
        <w:t>提供等额的增值税发票。委托人未能在前述时间内完成审批或不予答复的，视为委托人同意中</w:t>
      </w:r>
      <w:r>
        <w:rPr>
          <w:rFonts w:ascii="Times New Roman" w:hAnsi="Times New Roman" w:eastAsia="宋体"/>
          <w:sz w:val="24"/>
          <w:szCs w:val="24"/>
          <w:highlight w:val="none"/>
          <w:lang w:eastAsia="zh-CN"/>
        </w:rPr>
        <w:t>期支付申请。委托人不按期支付的，按专用合同条款的约定支付逾期付款违约金。</w:t>
      </w:r>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12.3.3</w:t>
      </w:r>
      <w:r>
        <w:rPr>
          <w:rFonts w:ascii="Times New Roman" w:hAnsi="Times New Roman" w:eastAsia="宋体"/>
          <w:spacing w:val="1"/>
          <w:sz w:val="24"/>
          <w:szCs w:val="24"/>
          <w:highlight w:val="none"/>
          <w:lang w:eastAsia="zh-CN"/>
        </w:rPr>
        <w:t>中期支付涉及政府投资资金的，按照国库集中支付等国家相关规定和专用合同条款</w:t>
      </w:r>
      <w:r>
        <w:rPr>
          <w:rFonts w:ascii="Times New Roman" w:hAnsi="Times New Roman" w:eastAsia="宋体"/>
          <w:sz w:val="24"/>
          <w:szCs w:val="24"/>
          <w:highlight w:val="none"/>
          <w:lang w:eastAsia="zh-CN"/>
        </w:rPr>
        <w:t>的约定执行。</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82" w:name="_Toc508201343"/>
      <w:bookmarkStart w:id="583" w:name="_Toc508200405"/>
      <w:bookmarkStart w:id="584" w:name="_Toc31128"/>
      <w:bookmarkStart w:id="585" w:name="_Toc18389"/>
      <w:bookmarkStart w:id="586" w:name="_Toc506006127"/>
      <w:r>
        <w:rPr>
          <w:rFonts w:ascii="Times New Roman" w:hAnsi="Times New Roman" w:eastAsia="黑体"/>
          <w:sz w:val="28"/>
          <w:szCs w:val="21"/>
          <w:highlight w:val="none"/>
          <w:lang w:eastAsia="zh-CN"/>
        </w:rPr>
        <w:t>12.4 费用结算</w:t>
      </w:r>
      <w:bookmarkEnd w:id="582"/>
      <w:bookmarkEnd w:id="583"/>
      <w:bookmarkEnd w:id="584"/>
      <w:bookmarkEnd w:id="585"/>
      <w:bookmarkEnd w:id="586"/>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12.4.1</w:t>
      </w:r>
      <w:r>
        <w:rPr>
          <w:rFonts w:hint="eastAsia" w:ascii="Times New Roman" w:hAnsi="Times New Roman" w:eastAsia="宋体"/>
          <w:sz w:val="24"/>
          <w:szCs w:val="24"/>
          <w:highlight w:val="none"/>
          <w:lang w:eastAsia="zh-CN"/>
        </w:rPr>
        <w:t>提交服务成果文件后，服务人</w:t>
      </w:r>
      <w:r>
        <w:rPr>
          <w:rFonts w:ascii="Times New Roman" w:hAnsi="Times New Roman" w:eastAsia="宋体"/>
          <w:spacing w:val="1"/>
          <w:sz w:val="24"/>
          <w:szCs w:val="24"/>
          <w:highlight w:val="none"/>
          <w:lang w:eastAsia="zh-CN"/>
        </w:rPr>
        <w:t>可按专用合同条款约定的份数和期限，向委托人提交</w:t>
      </w:r>
      <w:r>
        <w:rPr>
          <w:rFonts w:hint="eastAsia" w:ascii="Times New Roman" w:hAnsi="Times New Roman" w:eastAsia="宋体"/>
          <w:spacing w:val="1"/>
          <w:sz w:val="24"/>
          <w:szCs w:val="24"/>
          <w:highlight w:val="none"/>
          <w:lang w:eastAsia="zh-CN"/>
        </w:rPr>
        <w:t>服务</w:t>
      </w:r>
      <w:r>
        <w:rPr>
          <w:rFonts w:ascii="Times New Roman" w:hAnsi="Times New Roman" w:eastAsia="宋体"/>
          <w:sz w:val="24"/>
          <w:szCs w:val="24"/>
          <w:highlight w:val="none"/>
          <w:lang w:eastAsia="zh-CN"/>
        </w:rPr>
        <w:t>费用结算申请，并提供相关证明材料。</w:t>
      </w:r>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12.4.2</w:t>
      </w:r>
      <w:r>
        <w:rPr>
          <w:rFonts w:hint="eastAsia" w:ascii="Times New Roman" w:hAnsi="Times New Roman" w:eastAsia="宋体"/>
          <w:sz w:val="24"/>
          <w:szCs w:val="24"/>
          <w:highlight w:val="none"/>
          <w:lang w:eastAsia="zh-CN"/>
        </w:rPr>
        <w:t>委托人应在收到费用结算申请后的</w:t>
      </w:r>
      <w:r>
        <w:rPr>
          <w:rFonts w:ascii="Times New Roman" w:hAnsi="Times New Roman" w:eastAsia="宋体"/>
          <w:sz w:val="24"/>
          <w:szCs w:val="24"/>
          <w:highlight w:val="none"/>
          <w:lang w:eastAsia="zh-CN"/>
        </w:rPr>
        <w:t>28</w:t>
      </w:r>
      <w:r>
        <w:rPr>
          <w:rFonts w:hint="eastAsia" w:ascii="Times New Roman" w:hAnsi="Times New Roman" w:eastAsia="宋体"/>
          <w:sz w:val="24"/>
          <w:szCs w:val="24"/>
          <w:highlight w:val="none"/>
          <w:lang w:eastAsia="zh-CN"/>
        </w:rPr>
        <w:t>天内完成审批，委托人对费用结算申请内容有异议的，有权要求服务人进行修正和提供补充资料，由服务人重新提交。服务人对此有异议的，按第</w:t>
      </w:r>
      <w:r>
        <w:rPr>
          <w:rFonts w:ascii="Times New Roman" w:hAnsi="Times New Roman" w:eastAsia="宋体"/>
          <w:sz w:val="24"/>
          <w:szCs w:val="24"/>
          <w:highlight w:val="none"/>
          <w:lang w:eastAsia="zh-CN"/>
        </w:rPr>
        <w:t>15</w:t>
      </w:r>
      <w:r>
        <w:rPr>
          <w:rFonts w:hint="eastAsia" w:ascii="Times New Roman" w:hAnsi="Times New Roman" w:eastAsia="宋体"/>
          <w:sz w:val="24"/>
          <w:szCs w:val="24"/>
          <w:highlight w:val="none"/>
          <w:lang w:eastAsia="zh-CN"/>
        </w:rPr>
        <w:t>条的约定执行。费用结算申请完成审批或视为被同意的，自该日起</w:t>
      </w:r>
      <w:r>
        <w:rPr>
          <w:rFonts w:ascii="Times New Roman" w:hAnsi="Times New Roman" w:eastAsia="宋体"/>
          <w:sz w:val="24"/>
          <w:szCs w:val="24"/>
          <w:highlight w:val="none"/>
          <w:lang w:eastAsia="zh-CN"/>
        </w:rPr>
        <w:t>14</w:t>
      </w:r>
      <w:r>
        <w:rPr>
          <w:rFonts w:hint="eastAsia" w:ascii="Times New Roman" w:hAnsi="Times New Roman" w:eastAsia="宋体"/>
          <w:sz w:val="24"/>
          <w:szCs w:val="24"/>
          <w:highlight w:val="none"/>
          <w:lang w:eastAsia="zh-CN"/>
        </w:rPr>
        <w:t>天内，委托人将应付款项支付给服务人；服务人应当提供等额的增值税发票。委托人未能在前述时间内完成审批或不予答复的，视为委托人同意费用结算申请。委托人不按期支付的，按专用合同条款的约定支付逾期付款违约金。</w:t>
      </w:r>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12.4.3</w:t>
      </w:r>
      <w:r>
        <w:rPr>
          <w:rFonts w:ascii="Times New Roman" w:hAnsi="Times New Roman" w:eastAsia="宋体"/>
          <w:sz w:val="24"/>
          <w:szCs w:val="24"/>
          <w:highlight w:val="none"/>
          <w:lang w:eastAsia="zh-CN"/>
        </w:rPr>
        <w:t>最终结清付款涉及政府投资资金的，按第</w:t>
      </w:r>
      <w:r>
        <w:rPr>
          <w:rFonts w:ascii="Times New Roman" w:hAnsi="Times New Roman"/>
          <w:sz w:val="24"/>
          <w:szCs w:val="24"/>
          <w:highlight w:val="none"/>
          <w:lang w:eastAsia="zh-CN"/>
        </w:rPr>
        <w:t>12.3.3</w:t>
      </w:r>
      <w:r>
        <w:rPr>
          <w:rFonts w:ascii="Times New Roman" w:hAnsi="Times New Roman" w:eastAsia="宋体"/>
          <w:sz w:val="24"/>
          <w:szCs w:val="24"/>
          <w:highlight w:val="none"/>
          <w:lang w:eastAsia="zh-CN"/>
        </w:rPr>
        <w:t>项的约定执行。</w:t>
      </w:r>
    </w:p>
    <w:p>
      <w:pPr>
        <w:pStyle w:val="107"/>
        <w:spacing w:before="260" w:after="260" w:line="440" w:lineRule="atLeast"/>
        <w:rPr>
          <w:rFonts w:ascii="Times New Roman" w:hAnsi="Times New Roman" w:eastAsia="黑体"/>
          <w:b/>
          <w:spacing w:val="1"/>
          <w:sz w:val="32"/>
          <w:szCs w:val="32"/>
          <w:highlight w:val="none"/>
          <w:lang w:eastAsia="zh-CN"/>
        </w:rPr>
      </w:pPr>
      <w:bookmarkStart w:id="587" w:name="_Toc508200406"/>
      <w:bookmarkStart w:id="588" w:name="_Toc508201344"/>
      <w:bookmarkStart w:id="589" w:name="_Toc513817613"/>
      <w:bookmarkStart w:id="590" w:name="_Toc1329"/>
      <w:bookmarkStart w:id="591" w:name="_Toc3044"/>
      <w:bookmarkStart w:id="592" w:name="_Toc506006128"/>
      <w:r>
        <w:rPr>
          <w:rFonts w:ascii="Times New Roman" w:hAnsi="Times New Roman" w:eastAsia="黑体"/>
          <w:b/>
          <w:spacing w:val="1"/>
          <w:sz w:val="32"/>
          <w:szCs w:val="32"/>
          <w:highlight w:val="none"/>
          <w:lang w:eastAsia="zh-CN"/>
        </w:rPr>
        <w:t>13. 不可抗力</w:t>
      </w:r>
      <w:bookmarkEnd w:id="587"/>
      <w:bookmarkEnd w:id="588"/>
      <w:bookmarkEnd w:id="589"/>
      <w:bookmarkEnd w:id="590"/>
      <w:bookmarkEnd w:id="591"/>
      <w:bookmarkEnd w:id="592"/>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93" w:name="_Toc508201345"/>
      <w:bookmarkStart w:id="594" w:name="_Toc508200407"/>
      <w:bookmarkStart w:id="595" w:name="_Toc323"/>
      <w:bookmarkStart w:id="596" w:name="_Toc9366"/>
      <w:bookmarkStart w:id="597" w:name="_Toc506006129"/>
      <w:r>
        <w:rPr>
          <w:rFonts w:ascii="Times New Roman" w:hAnsi="Times New Roman" w:eastAsia="黑体"/>
          <w:sz w:val="28"/>
          <w:szCs w:val="21"/>
          <w:highlight w:val="none"/>
          <w:lang w:eastAsia="zh-CN"/>
        </w:rPr>
        <w:t>13.1 不可抗力的确认</w:t>
      </w:r>
      <w:bookmarkEnd w:id="593"/>
      <w:bookmarkEnd w:id="594"/>
      <w:bookmarkEnd w:id="595"/>
      <w:bookmarkEnd w:id="596"/>
      <w:bookmarkEnd w:id="597"/>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13.1.1</w:t>
      </w:r>
      <w:r>
        <w:rPr>
          <w:rFonts w:ascii="Times New Roman" w:hAnsi="Times New Roman" w:eastAsia="宋体"/>
          <w:spacing w:val="1"/>
          <w:sz w:val="24"/>
          <w:szCs w:val="24"/>
          <w:highlight w:val="none"/>
          <w:lang w:eastAsia="zh-CN"/>
        </w:rPr>
        <w:t>不可抗力是指</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和委托人在订立合同时不可预见，在履行合同过程中不可避免发生并不能克服的自然灾害和社会性突发事件，如地震、海啸、瘟疫、水灾、骚乱、暴动、战</w:t>
      </w:r>
      <w:r>
        <w:rPr>
          <w:rFonts w:ascii="Times New Roman" w:hAnsi="Times New Roman" w:eastAsia="宋体"/>
          <w:sz w:val="24"/>
          <w:szCs w:val="24"/>
          <w:highlight w:val="none"/>
          <w:lang w:eastAsia="zh-CN"/>
        </w:rPr>
        <w:t>争和专用合同条款约定的其他情形。</w:t>
      </w:r>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13.1.2</w:t>
      </w:r>
      <w:r>
        <w:rPr>
          <w:rFonts w:ascii="Times New Roman" w:hAnsi="Times New Roman" w:eastAsia="宋体"/>
          <w:spacing w:val="1"/>
          <w:sz w:val="24"/>
          <w:szCs w:val="24"/>
          <w:highlight w:val="none"/>
          <w:lang w:eastAsia="zh-CN"/>
        </w:rPr>
        <w:t>不可抗力发生后，委托人和</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应及时认真统计所造成的损失，收集不可抗力造</w:t>
      </w:r>
      <w:r>
        <w:rPr>
          <w:rFonts w:ascii="Times New Roman" w:hAnsi="Times New Roman" w:eastAsia="宋体"/>
          <w:spacing w:val="-4"/>
          <w:sz w:val="24"/>
          <w:szCs w:val="24"/>
          <w:highlight w:val="none"/>
          <w:lang w:eastAsia="zh-CN"/>
        </w:rPr>
        <w:t>成损失的证据。合同双方对是否属于不可抗力或其损失的意见不一致的，由合同双方协商确定。</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598" w:name="_Toc508201346"/>
      <w:bookmarkStart w:id="599" w:name="_Toc508200408"/>
      <w:bookmarkStart w:id="600" w:name="_Toc506006130"/>
      <w:bookmarkStart w:id="601" w:name="_Toc11132"/>
      <w:bookmarkStart w:id="602" w:name="_Toc18576"/>
      <w:r>
        <w:rPr>
          <w:rFonts w:ascii="Times New Roman" w:hAnsi="Times New Roman" w:eastAsia="黑体"/>
          <w:sz w:val="28"/>
          <w:szCs w:val="21"/>
          <w:highlight w:val="none"/>
          <w:lang w:eastAsia="zh-CN"/>
        </w:rPr>
        <w:t>13.2 不可抗力的通知</w:t>
      </w:r>
      <w:bookmarkEnd w:id="598"/>
      <w:bookmarkEnd w:id="599"/>
      <w:bookmarkEnd w:id="600"/>
      <w:bookmarkEnd w:id="601"/>
      <w:bookmarkEnd w:id="602"/>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13.2.1</w:t>
      </w:r>
      <w:r>
        <w:rPr>
          <w:rFonts w:ascii="Times New Roman" w:hAnsi="Times New Roman" w:eastAsia="宋体"/>
          <w:spacing w:val="1"/>
          <w:sz w:val="24"/>
          <w:szCs w:val="24"/>
          <w:highlight w:val="none"/>
          <w:lang w:eastAsia="zh-CN"/>
        </w:rPr>
        <w:t>合同一方当事人遇到不可抗力事件，使其履行合同义务受到阻碍时，应立即通知合</w:t>
      </w:r>
      <w:r>
        <w:rPr>
          <w:rFonts w:ascii="Times New Roman" w:hAnsi="Times New Roman" w:eastAsia="宋体"/>
          <w:sz w:val="24"/>
          <w:szCs w:val="24"/>
          <w:highlight w:val="none"/>
          <w:lang w:eastAsia="zh-CN"/>
        </w:rPr>
        <w:t>同另一方当事人，书面说明不可抗力和受阻碍的详细情况，并提供必要的证明。</w:t>
      </w:r>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13.2.2</w:t>
      </w:r>
      <w:r>
        <w:rPr>
          <w:rFonts w:ascii="Times New Roman" w:hAnsi="Times New Roman" w:eastAsia="宋体"/>
          <w:spacing w:val="1"/>
          <w:sz w:val="24"/>
          <w:szCs w:val="24"/>
          <w:highlight w:val="none"/>
          <w:lang w:eastAsia="zh-CN"/>
        </w:rPr>
        <w:t>如不可抗力持续发生，合同一方当事人应及时向合同另一方当事人提交中间报告，</w:t>
      </w:r>
      <w:r>
        <w:rPr>
          <w:rFonts w:ascii="Times New Roman" w:hAnsi="Times New Roman" w:eastAsia="宋体"/>
          <w:spacing w:val="-3"/>
          <w:sz w:val="24"/>
          <w:szCs w:val="24"/>
          <w:highlight w:val="none"/>
          <w:lang w:eastAsia="zh-CN"/>
        </w:rPr>
        <w:t>说明不可抗力和履行合同受阻的情况，并于不可抗力事件结束后</w:t>
      </w:r>
      <w:r>
        <w:rPr>
          <w:rFonts w:ascii="Times New Roman" w:hAnsi="Times New Roman"/>
          <w:spacing w:val="1"/>
          <w:sz w:val="24"/>
          <w:szCs w:val="24"/>
          <w:highlight w:val="none"/>
          <w:lang w:eastAsia="zh-CN"/>
        </w:rPr>
        <w:t>28</w:t>
      </w:r>
      <w:r>
        <w:rPr>
          <w:rFonts w:ascii="Times New Roman" w:hAnsi="Times New Roman" w:eastAsia="宋体"/>
          <w:sz w:val="24"/>
          <w:szCs w:val="24"/>
          <w:highlight w:val="none"/>
          <w:lang w:eastAsia="zh-CN"/>
        </w:rPr>
        <w:t>天内提交最终报告及有关资</w:t>
      </w:r>
      <w:r>
        <w:rPr>
          <w:rFonts w:ascii="Times New Roman" w:hAnsi="Times New Roman" w:eastAsia="宋体"/>
          <w:spacing w:val="1"/>
          <w:sz w:val="24"/>
          <w:szCs w:val="24"/>
          <w:highlight w:val="none"/>
          <w:lang w:eastAsia="zh-CN"/>
        </w:rPr>
        <w:t>料。</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03" w:name="_Toc12471"/>
      <w:bookmarkStart w:id="604" w:name="_Toc508201347"/>
      <w:bookmarkStart w:id="605" w:name="_Toc506006131"/>
      <w:bookmarkStart w:id="606" w:name="_Toc31837"/>
      <w:bookmarkStart w:id="607" w:name="_Toc508200409"/>
      <w:r>
        <w:rPr>
          <w:rFonts w:ascii="Times New Roman" w:hAnsi="Times New Roman" w:eastAsia="黑体"/>
          <w:sz w:val="28"/>
          <w:szCs w:val="21"/>
          <w:highlight w:val="none"/>
          <w:lang w:eastAsia="zh-CN"/>
        </w:rPr>
        <w:t>13.3 不可抗力后果及其处理</w:t>
      </w:r>
      <w:bookmarkEnd w:id="603"/>
      <w:bookmarkEnd w:id="604"/>
      <w:bookmarkEnd w:id="605"/>
      <w:bookmarkEnd w:id="606"/>
      <w:bookmarkEnd w:id="607"/>
    </w:p>
    <w:p>
      <w:pPr>
        <w:pStyle w:val="12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13.3.1</w:t>
      </w:r>
      <w:r>
        <w:rPr>
          <w:rFonts w:ascii="Times New Roman" w:hAnsi="Times New Roman" w:eastAsia="宋体"/>
          <w:spacing w:val="1"/>
          <w:sz w:val="24"/>
          <w:szCs w:val="24"/>
          <w:highlight w:val="none"/>
          <w:lang w:eastAsia="zh-CN"/>
        </w:rPr>
        <w:t>不可抗力引起的后果及其损失，应由合同当事人依据法律规定各自承担。不可抗力</w:t>
      </w:r>
      <w:r>
        <w:rPr>
          <w:rFonts w:ascii="Times New Roman" w:hAnsi="Times New Roman" w:eastAsia="宋体"/>
          <w:sz w:val="24"/>
          <w:szCs w:val="24"/>
          <w:highlight w:val="none"/>
          <w:lang w:eastAsia="zh-CN"/>
        </w:rPr>
        <w:t>发生前已完成的</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工作，应当按照合同约定进行支付。</w:t>
      </w:r>
    </w:p>
    <w:p>
      <w:pPr>
        <w:pStyle w:val="12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13.3.2</w:t>
      </w:r>
      <w:r>
        <w:rPr>
          <w:rFonts w:ascii="Times New Roman" w:hAnsi="Times New Roman" w:eastAsia="宋体"/>
          <w:spacing w:val="1"/>
          <w:sz w:val="24"/>
          <w:szCs w:val="24"/>
          <w:highlight w:val="none"/>
          <w:lang w:eastAsia="zh-CN"/>
        </w:rPr>
        <w:t>不可抗力发生后，合同当事人应当采取有效措施避免损失进一步扩大，如未采取有</w:t>
      </w:r>
      <w:r>
        <w:rPr>
          <w:rFonts w:ascii="Times New Roman" w:hAnsi="Times New Roman" w:eastAsia="宋体"/>
          <w:sz w:val="24"/>
          <w:szCs w:val="24"/>
          <w:highlight w:val="none"/>
          <w:lang w:eastAsia="zh-CN"/>
        </w:rPr>
        <w:t>效措施致使损失扩大的，应当自行承担扩大部分的损失。</w:t>
      </w:r>
    </w:p>
    <w:p>
      <w:pPr>
        <w:spacing w:line="558" w:lineRule="exact"/>
        <w:ind w:firstLine="602" w:firstLineChars="250"/>
        <w:rPr>
          <w:rFonts w:eastAsia="仿宋_GB2312"/>
          <w:b/>
          <w:bCs/>
          <w:sz w:val="28"/>
          <w:szCs w:val="28"/>
          <w:highlight w:val="none"/>
        </w:rPr>
      </w:pPr>
      <w:r>
        <w:rPr>
          <w:b/>
          <w:sz w:val="24"/>
          <w:highlight w:val="none"/>
        </w:rPr>
        <w:t>13.3.3</w:t>
      </w:r>
      <w:r>
        <w:rPr>
          <w:rFonts w:hint="eastAsia"/>
          <w:kern w:val="0"/>
          <w:sz w:val="24"/>
          <w:highlight w:val="none"/>
        </w:rPr>
        <w:t>因一方当事人迟延履行合同义务，致使迟延履行期间遭遇不可抗力的，应由该当事人承担全部损失且不免除其违约责任。</w:t>
      </w:r>
    </w:p>
    <w:p>
      <w:pPr>
        <w:pStyle w:val="107"/>
        <w:spacing w:before="260" w:after="260" w:line="440" w:lineRule="atLeast"/>
        <w:rPr>
          <w:rFonts w:ascii="Times New Roman" w:hAnsi="Times New Roman" w:eastAsia="黑体"/>
          <w:b/>
          <w:spacing w:val="1"/>
          <w:sz w:val="32"/>
          <w:szCs w:val="32"/>
          <w:highlight w:val="none"/>
          <w:lang w:eastAsia="zh-CN"/>
        </w:rPr>
      </w:pPr>
      <w:bookmarkStart w:id="608" w:name="_Toc14274"/>
      <w:bookmarkStart w:id="609" w:name="_Toc506006132"/>
      <w:bookmarkStart w:id="610" w:name="_Toc513817614"/>
      <w:bookmarkStart w:id="611" w:name="_Toc1016"/>
      <w:bookmarkStart w:id="612" w:name="_Toc508201348"/>
      <w:bookmarkStart w:id="613" w:name="_Toc508200410"/>
      <w:r>
        <w:rPr>
          <w:rFonts w:ascii="Times New Roman" w:hAnsi="Times New Roman" w:eastAsia="黑体"/>
          <w:b/>
          <w:spacing w:val="1"/>
          <w:sz w:val="32"/>
          <w:szCs w:val="32"/>
          <w:highlight w:val="none"/>
          <w:lang w:eastAsia="zh-CN"/>
        </w:rPr>
        <w:t>14. 违约</w:t>
      </w:r>
      <w:bookmarkEnd w:id="608"/>
      <w:bookmarkEnd w:id="609"/>
      <w:bookmarkEnd w:id="610"/>
      <w:bookmarkEnd w:id="611"/>
      <w:bookmarkEnd w:id="612"/>
      <w:bookmarkEnd w:id="613"/>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14" w:name="_Toc506006133"/>
      <w:bookmarkStart w:id="615" w:name="_Toc508200411"/>
      <w:bookmarkStart w:id="616" w:name="_Toc508201349"/>
      <w:bookmarkStart w:id="617" w:name="_Toc15767"/>
      <w:bookmarkStart w:id="618" w:name="_Toc14103"/>
      <w:r>
        <w:rPr>
          <w:rFonts w:ascii="Times New Roman" w:hAnsi="Times New Roman" w:eastAsia="黑体"/>
          <w:sz w:val="28"/>
          <w:szCs w:val="21"/>
          <w:highlight w:val="none"/>
          <w:lang w:eastAsia="zh-CN"/>
        </w:rPr>
        <w:t xml:space="preserve">14.1 </w:t>
      </w:r>
      <w:r>
        <w:rPr>
          <w:rFonts w:hint="eastAsia" w:ascii="Times New Roman" w:hAnsi="Times New Roman" w:eastAsia="黑体"/>
          <w:sz w:val="28"/>
          <w:szCs w:val="21"/>
          <w:highlight w:val="none"/>
          <w:lang w:eastAsia="zh-CN"/>
        </w:rPr>
        <w:t>服务人</w:t>
      </w:r>
      <w:r>
        <w:rPr>
          <w:rFonts w:ascii="Times New Roman" w:hAnsi="Times New Roman" w:eastAsia="黑体"/>
          <w:sz w:val="28"/>
          <w:szCs w:val="21"/>
          <w:highlight w:val="none"/>
          <w:lang w:eastAsia="zh-CN"/>
        </w:rPr>
        <w:t>违约</w:t>
      </w:r>
      <w:bookmarkEnd w:id="614"/>
      <w:bookmarkEnd w:id="615"/>
      <w:bookmarkEnd w:id="616"/>
      <w:bookmarkEnd w:id="617"/>
      <w:bookmarkEnd w:id="618"/>
    </w:p>
    <w:p>
      <w:pPr>
        <w:pStyle w:val="12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14.1.1</w:t>
      </w:r>
      <w:r>
        <w:rPr>
          <w:rFonts w:ascii="Times New Roman" w:hAnsi="Times New Roman" w:eastAsia="宋体"/>
          <w:sz w:val="24"/>
          <w:szCs w:val="24"/>
          <w:highlight w:val="none"/>
          <w:lang w:eastAsia="zh-CN"/>
        </w:rPr>
        <w:t>合同履行中发生下列情况之一的，属</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违约：</w:t>
      </w:r>
    </w:p>
    <w:p>
      <w:pPr>
        <w:pStyle w:val="127"/>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成果文件不符合法律以及合同约定；</w:t>
      </w:r>
    </w:p>
    <w:p>
      <w:pPr>
        <w:pStyle w:val="127"/>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转包、违法分包或者未经委托人同意擅自分包；</w:t>
      </w:r>
    </w:p>
    <w:p>
      <w:pPr>
        <w:pStyle w:val="127"/>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3</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未按合同计划完成</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，从而造成工程损失；</w:t>
      </w:r>
    </w:p>
    <w:p>
      <w:pPr>
        <w:pStyle w:val="127"/>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w:t>
      </w:r>
      <w:r>
        <w:rPr>
          <w:rFonts w:ascii="Times New Roman" w:hAnsi="Times New Roman" w:eastAsia="宋体"/>
          <w:sz w:val="24"/>
          <w:szCs w:val="24"/>
          <w:highlight w:val="none"/>
          <w:lang w:eastAsia="zh-CN"/>
        </w:rPr>
        <w:t>4）</w:t>
      </w:r>
      <w:r>
        <w:rPr>
          <w:rFonts w:hint="eastAsia" w:ascii="Times New Roman" w:hAnsi="Times New Roman" w:eastAsia="宋体"/>
          <w:sz w:val="24"/>
          <w:szCs w:val="24"/>
          <w:highlight w:val="none"/>
          <w:lang w:eastAsia="zh-CN"/>
        </w:rPr>
        <w:t>服务人明确表示或以其行为表明不履行合同主要义务的；</w:t>
      </w:r>
    </w:p>
    <w:p>
      <w:pPr>
        <w:pStyle w:val="127"/>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5</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不履行合同约定的其他义务。</w:t>
      </w:r>
    </w:p>
    <w:p>
      <w:pPr>
        <w:pStyle w:val="12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14.1.2</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发生违约情况时，委托人可向</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发出整改通知，要求其在限定期限内纠正；逾期仍不纠正的，委托人有权解除合同并向</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发出解除合同通知。</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应当承担由</w:t>
      </w:r>
      <w:r>
        <w:rPr>
          <w:rFonts w:ascii="Times New Roman" w:hAnsi="Times New Roman" w:eastAsia="宋体"/>
          <w:sz w:val="24"/>
          <w:szCs w:val="24"/>
          <w:highlight w:val="none"/>
          <w:lang w:eastAsia="zh-CN"/>
        </w:rPr>
        <w:t>于违约所造成的费用增加、周期延误和委托人损失等。</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19" w:name="_Toc508201350"/>
      <w:bookmarkStart w:id="620" w:name="_Toc12715"/>
      <w:bookmarkStart w:id="621" w:name="_Toc506006134"/>
      <w:bookmarkStart w:id="622" w:name="_Toc508200412"/>
      <w:bookmarkStart w:id="623" w:name="_Toc13077"/>
      <w:r>
        <w:rPr>
          <w:rFonts w:ascii="Times New Roman" w:hAnsi="Times New Roman" w:eastAsia="黑体"/>
          <w:sz w:val="28"/>
          <w:szCs w:val="21"/>
          <w:highlight w:val="none"/>
          <w:lang w:eastAsia="zh-CN"/>
        </w:rPr>
        <w:t>14.2 委托人违约</w:t>
      </w:r>
      <w:bookmarkEnd w:id="619"/>
      <w:bookmarkEnd w:id="620"/>
      <w:bookmarkEnd w:id="621"/>
      <w:bookmarkEnd w:id="622"/>
      <w:bookmarkEnd w:id="623"/>
    </w:p>
    <w:p>
      <w:pPr>
        <w:pStyle w:val="12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14.2.1</w:t>
      </w:r>
      <w:r>
        <w:rPr>
          <w:rFonts w:ascii="Times New Roman" w:hAnsi="Times New Roman" w:eastAsia="宋体"/>
          <w:sz w:val="24"/>
          <w:szCs w:val="24"/>
          <w:highlight w:val="none"/>
          <w:lang w:eastAsia="zh-CN"/>
        </w:rPr>
        <w:t>合同履行中发生下列情况之一的，属委托人违约：</w:t>
      </w:r>
    </w:p>
    <w:p>
      <w:pPr>
        <w:pStyle w:val="127"/>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）委托人未按合同约定支付</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费用；</w:t>
      </w:r>
    </w:p>
    <w:p>
      <w:pPr>
        <w:pStyle w:val="127"/>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）委托人原因造成</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停止；</w:t>
      </w:r>
    </w:p>
    <w:p>
      <w:pPr>
        <w:pStyle w:val="127"/>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w:t>
      </w:r>
      <w:r>
        <w:rPr>
          <w:rFonts w:ascii="Times New Roman" w:hAnsi="Times New Roman" w:eastAsia="宋体"/>
          <w:sz w:val="24"/>
          <w:szCs w:val="24"/>
          <w:highlight w:val="none"/>
          <w:lang w:eastAsia="zh-CN"/>
        </w:rPr>
        <w:t>3）</w:t>
      </w:r>
      <w:r>
        <w:rPr>
          <w:rFonts w:hint="eastAsia" w:ascii="Times New Roman" w:hAnsi="Times New Roman" w:eastAsia="宋体"/>
          <w:sz w:val="24"/>
          <w:szCs w:val="24"/>
          <w:highlight w:val="none"/>
          <w:lang w:eastAsia="zh-CN"/>
        </w:rPr>
        <w:t>委托人明确表示或以其行为表明不履行合同主要义务的</w:t>
      </w:r>
      <w:r>
        <w:rPr>
          <w:rFonts w:ascii="Times New Roman" w:hAnsi="Times New Roman" w:eastAsia="宋体"/>
          <w:sz w:val="24"/>
          <w:szCs w:val="24"/>
          <w:highlight w:val="none"/>
          <w:lang w:eastAsia="zh-CN"/>
        </w:rPr>
        <w:t>；</w:t>
      </w:r>
    </w:p>
    <w:p>
      <w:pPr>
        <w:pStyle w:val="127"/>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4</w:t>
      </w:r>
      <w:r>
        <w:rPr>
          <w:rFonts w:ascii="Times New Roman" w:hAnsi="Times New Roman" w:eastAsia="宋体"/>
          <w:sz w:val="24"/>
          <w:szCs w:val="24"/>
          <w:highlight w:val="none"/>
          <w:lang w:eastAsia="zh-CN"/>
        </w:rPr>
        <w:t>）委托人不履行合同约定的其他义务。</w:t>
      </w:r>
    </w:p>
    <w:p>
      <w:pPr>
        <w:pStyle w:val="127"/>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14.2.2</w:t>
      </w:r>
      <w:r>
        <w:rPr>
          <w:rFonts w:ascii="Times New Roman" w:hAnsi="Times New Roman" w:eastAsia="宋体"/>
          <w:spacing w:val="1"/>
          <w:sz w:val="24"/>
          <w:szCs w:val="24"/>
          <w:highlight w:val="none"/>
          <w:lang w:eastAsia="zh-CN"/>
        </w:rPr>
        <w:t>委托人发生违约情况时，</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可向委托人发出暂停</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通知，要求其在限定期限内纠正；逾期仍不纠正的，</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有权解除合同并向委托人发出解除合同通知。委托人应当承</w:t>
      </w:r>
      <w:r>
        <w:rPr>
          <w:rFonts w:ascii="Times New Roman" w:hAnsi="Times New Roman" w:eastAsia="宋体"/>
          <w:sz w:val="24"/>
          <w:szCs w:val="24"/>
          <w:highlight w:val="none"/>
          <w:lang w:eastAsia="zh-CN"/>
        </w:rPr>
        <w:t>担由于违约所造成的费用增加、周期延误和</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损失等。</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24" w:name="_Toc508201351"/>
      <w:bookmarkStart w:id="625" w:name="_Toc28790"/>
      <w:bookmarkStart w:id="626" w:name="_Toc506006135"/>
      <w:bookmarkStart w:id="627" w:name="_Toc508200413"/>
      <w:bookmarkStart w:id="628" w:name="_Toc30313"/>
      <w:r>
        <w:rPr>
          <w:rFonts w:ascii="Times New Roman" w:hAnsi="Times New Roman" w:eastAsia="黑体"/>
          <w:sz w:val="28"/>
          <w:szCs w:val="21"/>
          <w:highlight w:val="none"/>
          <w:lang w:eastAsia="zh-CN"/>
        </w:rPr>
        <w:t>14.3 第三人造成的违约</w:t>
      </w:r>
      <w:bookmarkEnd w:id="624"/>
      <w:bookmarkEnd w:id="625"/>
      <w:bookmarkEnd w:id="626"/>
      <w:bookmarkEnd w:id="627"/>
      <w:bookmarkEnd w:id="628"/>
    </w:p>
    <w:p>
      <w:pPr>
        <w:pStyle w:val="12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在履行合同过程中，一方当事人因第三人的原因造成违约的，应当向对方当事人承担违约</w:t>
      </w:r>
      <w:r>
        <w:rPr>
          <w:rFonts w:ascii="Times New Roman" w:hAnsi="Times New Roman" w:eastAsia="宋体"/>
          <w:sz w:val="24"/>
          <w:szCs w:val="24"/>
          <w:highlight w:val="none"/>
          <w:lang w:eastAsia="zh-CN"/>
        </w:rPr>
        <w:t>责任。一方当事人和第三人之间的纠纷，依照法律规定或者按照约定解决。</w:t>
      </w:r>
    </w:p>
    <w:p>
      <w:pPr>
        <w:pStyle w:val="107"/>
        <w:spacing w:before="260" w:after="260" w:line="440" w:lineRule="atLeast"/>
        <w:rPr>
          <w:rFonts w:ascii="Times New Roman" w:hAnsi="Times New Roman" w:eastAsia="黑体"/>
          <w:b/>
          <w:spacing w:val="1"/>
          <w:sz w:val="32"/>
          <w:szCs w:val="32"/>
          <w:highlight w:val="none"/>
          <w:lang w:eastAsia="zh-CN"/>
        </w:rPr>
      </w:pPr>
      <w:bookmarkStart w:id="629" w:name="_Toc4083"/>
      <w:bookmarkStart w:id="630" w:name="_Toc508201352"/>
      <w:bookmarkStart w:id="631" w:name="_Toc513817615"/>
      <w:bookmarkStart w:id="632" w:name="_Toc506006136"/>
      <w:bookmarkStart w:id="633" w:name="_Toc508200414"/>
      <w:bookmarkStart w:id="634" w:name="_Toc28720"/>
      <w:r>
        <w:rPr>
          <w:rFonts w:ascii="Times New Roman" w:hAnsi="Times New Roman" w:eastAsia="黑体"/>
          <w:b/>
          <w:spacing w:val="1"/>
          <w:sz w:val="32"/>
          <w:szCs w:val="32"/>
          <w:highlight w:val="none"/>
          <w:lang w:eastAsia="zh-CN"/>
        </w:rPr>
        <w:t>15. 争议的解决</w:t>
      </w:r>
      <w:bookmarkEnd w:id="629"/>
      <w:bookmarkEnd w:id="630"/>
      <w:bookmarkEnd w:id="631"/>
      <w:bookmarkEnd w:id="632"/>
      <w:bookmarkEnd w:id="633"/>
      <w:bookmarkEnd w:id="634"/>
    </w:p>
    <w:p>
      <w:pPr>
        <w:pStyle w:val="12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委托人和</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在履行合同中发生争议的，可以友好协商解决。合同当事人友好协商解决</w:t>
      </w:r>
      <w:r>
        <w:rPr>
          <w:rFonts w:ascii="Times New Roman" w:hAnsi="Times New Roman" w:eastAsia="宋体"/>
          <w:sz w:val="24"/>
          <w:szCs w:val="24"/>
          <w:highlight w:val="none"/>
          <w:lang w:eastAsia="zh-CN"/>
        </w:rPr>
        <w:t>不成的，可在专用合同条款中约定下列一种方式解决：</w:t>
      </w:r>
    </w:p>
    <w:p>
      <w:pPr>
        <w:pStyle w:val="128"/>
        <w:spacing w:before="0" w:after="0" w:line="440" w:lineRule="atLeast"/>
        <w:ind w:firstLine="484" w:firstLineChars="200"/>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）向约定的仲裁委员会申请仲裁；</w:t>
      </w:r>
    </w:p>
    <w:p>
      <w:pPr>
        <w:pStyle w:val="129"/>
        <w:spacing w:before="0" w:after="0" w:line="440" w:lineRule="atLeast"/>
        <w:ind w:firstLine="484" w:firstLineChars="200"/>
        <w:rPr>
          <w:rFonts w:ascii="Times New Roman" w:hAnsi="Times New Roman" w:eastAsia="宋体"/>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）向有管辖权的人民法院提起诉讼。</w:t>
      </w:r>
    </w:p>
    <w:p>
      <w:pPr>
        <w:pStyle w:val="129"/>
        <w:spacing w:before="0" w:after="0" w:line="440" w:lineRule="atLeast"/>
        <w:ind w:firstLine="480" w:firstLineChars="200"/>
        <w:rPr>
          <w:rFonts w:ascii="Times New Roman" w:hAnsi="Times New Roman" w:eastAsia="宋体"/>
          <w:sz w:val="24"/>
          <w:szCs w:val="24"/>
          <w:highlight w:val="none"/>
          <w:lang w:eastAsia="zh-CN"/>
        </w:rPr>
      </w:pPr>
    </w:p>
    <w:p>
      <w:pPr>
        <w:pStyle w:val="129"/>
        <w:spacing w:before="0" w:after="0" w:line="440" w:lineRule="atLeast"/>
        <w:ind w:firstLine="480" w:firstLineChars="200"/>
        <w:rPr>
          <w:rFonts w:ascii="Times New Roman" w:hAnsi="Times New Roman" w:eastAsia="宋体"/>
          <w:sz w:val="24"/>
          <w:szCs w:val="24"/>
          <w:highlight w:val="none"/>
          <w:lang w:eastAsia="zh-CN"/>
        </w:rPr>
      </w:pPr>
    </w:p>
    <w:p>
      <w:pPr>
        <w:pStyle w:val="107"/>
        <w:spacing w:before="260" w:after="260" w:line="440" w:lineRule="atLeast"/>
        <w:jc w:val="center"/>
        <w:outlineLvl w:val="1"/>
        <w:rPr>
          <w:rFonts w:ascii="Times New Roman" w:hAnsi="Times New Roman" w:eastAsia="黑体"/>
          <w:b/>
          <w:spacing w:val="1"/>
          <w:sz w:val="32"/>
          <w:szCs w:val="32"/>
          <w:highlight w:val="none"/>
          <w:lang w:eastAsia="zh-CN"/>
        </w:rPr>
      </w:pPr>
      <w:r>
        <w:rPr>
          <w:rFonts w:ascii="Times New Roman" w:hAnsi="Times New Roman" w:eastAsia="宋体"/>
          <w:sz w:val="21"/>
          <w:highlight w:val="none"/>
          <w:lang w:eastAsia="zh-CN"/>
        </w:rPr>
        <w:br w:type="page"/>
      </w:r>
      <w:bookmarkStart w:id="635" w:name="_Toc508201353"/>
      <w:bookmarkStart w:id="636" w:name="_Toc508200415"/>
      <w:bookmarkStart w:id="637" w:name="_Toc506006137"/>
      <w:bookmarkStart w:id="638" w:name="_Toc499646505"/>
      <w:bookmarkStart w:id="639" w:name="_Toc30441"/>
      <w:bookmarkStart w:id="640" w:name="_Toc513817616"/>
      <w:r>
        <w:rPr>
          <w:rFonts w:ascii="Times New Roman" w:hAnsi="Times New Roman" w:eastAsia="黑体"/>
          <w:b/>
          <w:spacing w:val="1"/>
          <w:sz w:val="32"/>
          <w:szCs w:val="32"/>
          <w:highlight w:val="none"/>
          <w:lang w:eastAsia="zh-CN"/>
        </w:rPr>
        <w:t>第二节专用合同条款</w:t>
      </w:r>
      <w:bookmarkEnd w:id="635"/>
      <w:bookmarkEnd w:id="636"/>
      <w:bookmarkEnd w:id="637"/>
      <w:bookmarkEnd w:id="638"/>
      <w:bookmarkEnd w:id="639"/>
      <w:bookmarkEnd w:id="640"/>
    </w:p>
    <w:p>
      <w:pPr>
        <w:pStyle w:val="11"/>
        <w:spacing w:line="440" w:lineRule="atLeast"/>
        <w:ind w:firstLine="480" w:firstLineChars="200"/>
        <w:rPr>
          <w:b/>
          <w:sz w:val="24"/>
          <w:highlight w:val="none"/>
        </w:rPr>
      </w:pPr>
      <w:r>
        <w:rPr>
          <w:sz w:val="24"/>
          <w:highlight w:val="none"/>
        </w:rPr>
        <w:t>本合同条款是对</w:t>
      </w:r>
      <w:r>
        <w:rPr>
          <w:rFonts w:hint="eastAsia"/>
          <w:sz w:val="24"/>
          <w:highlight w:val="none"/>
        </w:rPr>
        <w:t>服务</w:t>
      </w:r>
      <w:r>
        <w:rPr>
          <w:sz w:val="24"/>
          <w:highlight w:val="none"/>
        </w:rPr>
        <w:t>通用合同条款中相关条款的补充、修改或增加。当专用合同条款与通用条款不一致时，以专用合同条款为准，通用合同条款中未作修改或增补的条款继续有效。</w:t>
      </w:r>
    </w:p>
    <w:p>
      <w:pPr>
        <w:pStyle w:val="107"/>
        <w:spacing w:before="260" w:after="260" w:line="440" w:lineRule="atLeast"/>
        <w:rPr>
          <w:rFonts w:ascii="Times New Roman" w:hAnsi="Times New Roman" w:eastAsia="黑体"/>
          <w:b/>
          <w:spacing w:val="1"/>
          <w:sz w:val="32"/>
          <w:szCs w:val="32"/>
          <w:highlight w:val="none"/>
          <w:lang w:eastAsia="zh-CN"/>
        </w:rPr>
      </w:pPr>
      <w:bookmarkStart w:id="641" w:name="_Toc508200416"/>
      <w:bookmarkStart w:id="642" w:name="_Toc19394"/>
      <w:bookmarkStart w:id="643" w:name="_Toc508201354"/>
      <w:bookmarkStart w:id="644" w:name="_Toc506006138"/>
      <w:bookmarkStart w:id="645" w:name="_Toc17755"/>
      <w:bookmarkStart w:id="646" w:name="_Toc513817617"/>
      <w:r>
        <w:rPr>
          <w:rFonts w:ascii="Times New Roman" w:hAnsi="Times New Roman" w:eastAsia="黑体"/>
          <w:b/>
          <w:spacing w:val="1"/>
          <w:sz w:val="32"/>
          <w:szCs w:val="32"/>
          <w:highlight w:val="none"/>
          <w:lang w:eastAsia="zh-CN"/>
        </w:rPr>
        <w:t>1. 一般约定</w:t>
      </w:r>
      <w:bookmarkEnd w:id="641"/>
      <w:bookmarkEnd w:id="642"/>
      <w:bookmarkEnd w:id="643"/>
      <w:bookmarkEnd w:id="644"/>
      <w:bookmarkEnd w:id="645"/>
      <w:bookmarkEnd w:id="646"/>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47" w:name="_Toc508201355"/>
      <w:bookmarkStart w:id="648" w:name="_Toc506006139"/>
      <w:bookmarkStart w:id="649" w:name="_Toc29813"/>
      <w:bookmarkStart w:id="650" w:name="_Toc508200417"/>
      <w:bookmarkStart w:id="651" w:name="_Toc8071"/>
      <w:r>
        <w:rPr>
          <w:rFonts w:ascii="Times New Roman" w:hAnsi="Times New Roman" w:eastAsia="黑体"/>
          <w:sz w:val="28"/>
          <w:szCs w:val="21"/>
          <w:highlight w:val="none"/>
          <w:lang w:eastAsia="zh-CN"/>
        </w:rPr>
        <w:t>1.1 词语定义</w:t>
      </w:r>
      <w:bookmarkEnd w:id="647"/>
      <w:bookmarkEnd w:id="648"/>
      <w:bookmarkEnd w:id="649"/>
      <w:bookmarkEnd w:id="650"/>
      <w:bookmarkEnd w:id="651"/>
    </w:p>
    <w:p>
      <w:pPr>
        <w:pStyle w:val="110"/>
        <w:spacing w:before="0" w:after="0" w:line="440" w:lineRule="atLeast"/>
        <w:ind w:firstLine="480" w:firstLineChars="200"/>
        <w:rPr>
          <w:rFonts w:ascii="Times New Roman" w:hAnsi="Times New Roman" w:eastAsia="宋体"/>
          <w:sz w:val="24"/>
          <w:szCs w:val="24"/>
          <w:highlight w:val="none"/>
          <w:lang w:eastAsia="zh-CN"/>
        </w:rPr>
      </w:pPr>
      <w:r>
        <w:rPr>
          <w:rFonts w:ascii="Times New Roman" w:hAnsi="Times New Roman"/>
          <w:b/>
          <w:sz w:val="24"/>
          <w:szCs w:val="24"/>
          <w:highlight w:val="none"/>
          <w:lang w:eastAsia="zh-CN"/>
        </w:rPr>
        <w:t>1.1.3</w:t>
      </w:r>
      <w:r>
        <w:rPr>
          <w:rFonts w:hint="eastAsia" w:ascii="Times New Roman" w:hAnsi="Times New Roman" w:eastAsia="宋体"/>
          <w:spacing w:val="1"/>
          <w:sz w:val="24"/>
          <w:szCs w:val="24"/>
          <w:highlight w:val="none"/>
          <w:lang w:eastAsia="zh-CN"/>
        </w:rPr>
        <w:t>服务</w:t>
      </w:r>
    </w:p>
    <w:p>
      <w:pPr>
        <w:pStyle w:val="10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sz w:val="24"/>
          <w:szCs w:val="24"/>
          <w:highlight w:val="none"/>
          <w:lang w:eastAsia="zh-CN"/>
        </w:rPr>
        <w:t>1.1.3.1</w:t>
      </w:r>
      <w:r>
        <w:rPr>
          <w:rFonts w:hint="eastAsia" w:ascii="Times New Roman" w:hAnsi="Times New Roman" w:eastAsia="宋体"/>
          <w:spacing w:val="1"/>
          <w:sz w:val="24"/>
          <w:szCs w:val="24"/>
          <w:highlight w:val="none"/>
          <w:lang w:eastAsia="zh-CN"/>
        </w:rPr>
        <w:t>本合同服务：指</w:t>
      </w:r>
      <w:r>
        <w:rPr>
          <w:rFonts w:hint="eastAsia" w:ascii="Times New Roman" w:hAnsi="Times New Roman" w:eastAsia="宋体"/>
          <w:spacing w:val="1"/>
          <w:sz w:val="24"/>
          <w:szCs w:val="24"/>
          <w:highlight w:val="none"/>
          <w:u w:val="single"/>
          <w:lang w:eastAsia="zh-CN"/>
        </w:rPr>
        <w:t>水土保持监测/环境监测</w:t>
      </w:r>
      <w:r>
        <w:rPr>
          <w:rFonts w:hint="eastAsia" w:ascii="Times New Roman" w:hAnsi="Times New Roman" w:eastAsia="宋体"/>
          <w:spacing w:val="1"/>
          <w:sz w:val="24"/>
          <w:szCs w:val="24"/>
          <w:highlight w:val="none"/>
          <w:lang w:eastAsia="zh-CN"/>
        </w:rPr>
        <w:t>服务。</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52" w:name="_Toc4340"/>
      <w:bookmarkStart w:id="653" w:name="_Toc7862"/>
      <w:bookmarkStart w:id="654" w:name="_Toc506006140"/>
      <w:bookmarkStart w:id="655" w:name="_Toc508201356"/>
      <w:bookmarkStart w:id="656" w:name="_Toc508200418"/>
      <w:r>
        <w:rPr>
          <w:rFonts w:ascii="Times New Roman" w:hAnsi="Times New Roman" w:eastAsia="黑体"/>
          <w:sz w:val="28"/>
          <w:szCs w:val="21"/>
          <w:highlight w:val="none"/>
          <w:lang w:eastAsia="zh-CN"/>
        </w:rPr>
        <w:t>1.3 适用法律</w:t>
      </w:r>
      <w:bookmarkEnd w:id="652"/>
      <w:bookmarkEnd w:id="653"/>
      <w:bookmarkEnd w:id="654"/>
      <w:bookmarkEnd w:id="655"/>
      <w:bookmarkEnd w:id="656"/>
    </w:p>
    <w:p>
      <w:pPr>
        <w:pStyle w:val="109"/>
        <w:spacing w:before="0" w:after="0" w:line="440" w:lineRule="exact"/>
        <w:ind w:firstLine="480" w:firstLineChars="200"/>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本合同适用的其他规范性文件包括：</w:t>
      </w:r>
    </w:p>
    <w:p>
      <w:pPr>
        <w:pStyle w:val="109"/>
        <w:spacing w:before="0" w:after="0" w:line="440" w:lineRule="exac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水土保持监测：</w:t>
      </w:r>
    </w:p>
    <w:p>
      <w:pPr>
        <w:pStyle w:val="109"/>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1、《中华人民共和国水土保持法》；</w:t>
      </w:r>
    </w:p>
    <w:p>
      <w:pPr>
        <w:pStyle w:val="109"/>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2、《生产建设项目水土保持监测规程(试行)》(办水保〔20</w:t>
      </w:r>
      <w:r>
        <w:rPr>
          <w:rFonts w:ascii="宋体" w:hAnsi="宋体" w:eastAsia="宋体"/>
          <w:spacing w:val="1"/>
          <w:sz w:val="24"/>
          <w:szCs w:val="24"/>
          <w:highlight w:val="none"/>
          <w:u w:val="single"/>
          <w:lang w:eastAsia="zh-CN"/>
        </w:rPr>
        <w:t>15</w:t>
      </w:r>
      <w:r>
        <w:rPr>
          <w:rFonts w:hint="eastAsia" w:ascii="宋体" w:hAnsi="宋体" w:eastAsia="宋体"/>
          <w:spacing w:val="1"/>
          <w:sz w:val="24"/>
          <w:szCs w:val="24"/>
          <w:highlight w:val="none"/>
          <w:u w:val="single"/>
          <w:lang w:eastAsia="zh-CN"/>
        </w:rPr>
        <w:t>〕139 号)；</w:t>
      </w:r>
    </w:p>
    <w:p>
      <w:pPr>
        <w:pStyle w:val="109"/>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3、《水利部办公厅关于进一步加强生产建设项目水土保持监测工作的通知》(办水保〔2020〕161号)；</w:t>
      </w:r>
    </w:p>
    <w:p>
      <w:pPr>
        <w:pStyle w:val="109"/>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4、《湖南省生产建设项目水土保持监督管理办法》(湘水发(2022)14 号)；</w:t>
      </w:r>
    </w:p>
    <w:p>
      <w:pPr>
        <w:pStyle w:val="109"/>
        <w:spacing w:before="0" w:after="0" w:line="440" w:lineRule="exact"/>
        <w:ind w:firstLine="484" w:firstLineChars="200"/>
        <w:rPr>
          <w:rFonts w:ascii="宋体" w:hAnsi="宋体" w:eastAsia="宋体"/>
          <w:spacing w:val="1"/>
          <w:sz w:val="24"/>
          <w:szCs w:val="24"/>
          <w:highlight w:val="none"/>
          <w:u w:val="single"/>
          <w:lang w:eastAsia="zh-CN"/>
        </w:rPr>
      </w:pPr>
      <w:r>
        <w:rPr>
          <w:rFonts w:ascii="宋体" w:hAnsi="宋体" w:eastAsia="宋体"/>
          <w:spacing w:val="1"/>
          <w:sz w:val="24"/>
          <w:szCs w:val="24"/>
          <w:highlight w:val="none"/>
          <w:u w:val="single"/>
          <w:lang w:eastAsia="zh-CN"/>
        </w:rPr>
        <w:t>5</w:t>
      </w:r>
      <w:r>
        <w:rPr>
          <w:rFonts w:hint="eastAsia" w:ascii="宋体" w:hAnsi="宋体" w:eastAsia="宋体"/>
          <w:spacing w:val="1"/>
          <w:sz w:val="24"/>
          <w:szCs w:val="24"/>
          <w:highlight w:val="none"/>
          <w:u w:val="single"/>
          <w:lang w:eastAsia="zh-CN"/>
        </w:rPr>
        <w:t>、《水利部关于进一步深化“放管服”改革全面加强水土保持监管的意见》（水保〔2019〕160号）；</w:t>
      </w:r>
    </w:p>
    <w:p>
      <w:pPr>
        <w:pStyle w:val="109"/>
        <w:spacing w:before="0" w:after="0" w:line="440" w:lineRule="exact"/>
        <w:ind w:firstLine="484" w:firstLineChars="200"/>
        <w:rPr>
          <w:rFonts w:ascii="宋体" w:hAnsi="宋体" w:eastAsia="宋体"/>
          <w:spacing w:val="1"/>
          <w:sz w:val="24"/>
          <w:szCs w:val="24"/>
          <w:highlight w:val="none"/>
          <w:u w:val="single"/>
          <w:lang w:eastAsia="zh-CN"/>
        </w:rPr>
      </w:pPr>
      <w:r>
        <w:rPr>
          <w:rFonts w:ascii="宋体" w:hAnsi="宋体" w:eastAsia="宋体"/>
          <w:spacing w:val="1"/>
          <w:sz w:val="24"/>
          <w:szCs w:val="24"/>
          <w:highlight w:val="none"/>
          <w:u w:val="single"/>
          <w:lang w:eastAsia="zh-CN"/>
        </w:rPr>
        <w:t>6</w:t>
      </w:r>
      <w:r>
        <w:rPr>
          <w:rFonts w:hint="eastAsia" w:ascii="宋体" w:hAnsi="宋体" w:eastAsia="宋体"/>
          <w:spacing w:val="1"/>
          <w:sz w:val="24"/>
          <w:szCs w:val="24"/>
          <w:highlight w:val="none"/>
          <w:u w:val="single"/>
          <w:lang w:eastAsia="zh-CN"/>
        </w:rPr>
        <w:t>、经批复的</w:t>
      </w:r>
      <w:bookmarkStart w:id="657" w:name="_Hlk135127415"/>
      <w:r>
        <w:rPr>
          <w:rFonts w:hint="eastAsia" w:ascii="宋体" w:hAnsi="宋体" w:eastAsia="宋体"/>
          <w:spacing w:val="1"/>
          <w:sz w:val="24"/>
          <w:szCs w:val="24"/>
          <w:highlight w:val="none"/>
          <w:u w:val="single"/>
          <w:lang w:eastAsia="zh-CN"/>
        </w:rPr>
        <w:t>水土保持方案</w:t>
      </w:r>
      <w:bookmarkEnd w:id="657"/>
      <w:r>
        <w:rPr>
          <w:rFonts w:hint="eastAsia" w:ascii="宋体" w:hAnsi="宋体" w:eastAsia="宋体"/>
          <w:spacing w:val="1"/>
          <w:sz w:val="24"/>
          <w:szCs w:val="24"/>
          <w:highlight w:val="none"/>
          <w:u w:val="single"/>
          <w:lang w:eastAsia="zh-CN"/>
        </w:rPr>
        <w:t>及后续设计资料等。</w:t>
      </w:r>
    </w:p>
    <w:p>
      <w:pPr>
        <w:pStyle w:val="109"/>
        <w:spacing w:before="0" w:after="0" w:line="440" w:lineRule="exac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环境保护监测：</w:t>
      </w:r>
    </w:p>
    <w:p>
      <w:pPr>
        <w:pStyle w:val="109"/>
        <w:spacing w:before="0" w:after="0" w:line="440" w:lineRule="exact"/>
        <w:ind w:firstLine="484" w:firstLineChars="200"/>
        <w:rPr>
          <w:rFonts w:ascii="宋体" w:hAnsi="宋体" w:eastAsia="宋体"/>
          <w:spacing w:val="1"/>
          <w:sz w:val="24"/>
          <w:szCs w:val="24"/>
          <w:highlight w:val="none"/>
          <w:u w:val="single"/>
          <w:lang w:eastAsia="zh-CN"/>
        </w:rPr>
      </w:pPr>
      <w:r>
        <w:rPr>
          <w:rFonts w:ascii="宋体" w:hAnsi="宋体" w:eastAsia="宋体"/>
          <w:spacing w:val="1"/>
          <w:sz w:val="24"/>
          <w:szCs w:val="24"/>
          <w:highlight w:val="none"/>
          <w:u w:val="single"/>
          <w:lang w:eastAsia="zh-CN"/>
        </w:rPr>
        <w:t>1</w:t>
      </w:r>
      <w:r>
        <w:rPr>
          <w:rFonts w:hint="eastAsia" w:ascii="宋体" w:hAnsi="宋体" w:eastAsia="宋体"/>
          <w:spacing w:val="1"/>
          <w:sz w:val="24"/>
          <w:szCs w:val="24"/>
          <w:highlight w:val="none"/>
          <w:u w:val="single"/>
          <w:lang w:eastAsia="zh-CN"/>
        </w:rPr>
        <w:t>、交通运输行业公路水路环境监测管理办法（交环发〔2008〕112号）；</w:t>
      </w:r>
    </w:p>
    <w:p>
      <w:pPr>
        <w:pStyle w:val="109"/>
        <w:spacing w:before="0" w:after="0" w:line="440" w:lineRule="exact"/>
        <w:ind w:firstLine="484" w:firstLineChars="200"/>
        <w:rPr>
          <w:rFonts w:ascii="宋体" w:hAnsi="宋体" w:eastAsia="宋体"/>
          <w:spacing w:val="1"/>
          <w:sz w:val="24"/>
          <w:szCs w:val="24"/>
          <w:highlight w:val="none"/>
          <w:u w:val="single"/>
          <w:lang w:eastAsia="zh-CN"/>
        </w:rPr>
      </w:pPr>
      <w:r>
        <w:rPr>
          <w:rFonts w:ascii="宋体" w:hAnsi="宋体" w:eastAsia="宋体"/>
          <w:spacing w:val="1"/>
          <w:sz w:val="24"/>
          <w:szCs w:val="24"/>
          <w:highlight w:val="none"/>
          <w:u w:val="single"/>
          <w:lang w:eastAsia="zh-CN"/>
        </w:rPr>
        <w:t>2</w:t>
      </w:r>
      <w:r>
        <w:rPr>
          <w:rFonts w:hint="eastAsia" w:ascii="宋体" w:hAnsi="宋体" w:eastAsia="宋体"/>
          <w:spacing w:val="1"/>
          <w:sz w:val="24"/>
          <w:szCs w:val="24"/>
          <w:highlight w:val="none"/>
          <w:u w:val="single"/>
          <w:lang w:eastAsia="zh-CN"/>
        </w:rPr>
        <w:t>、高速公路施工期环境监测技术规范；</w:t>
      </w:r>
    </w:p>
    <w:p>
      <w:pPr>
        <w:pStyle w:val="109"/>
        <w:spacing w:before="0" w:after="0" w:line="440" w:lineRule="exact"/>
        <w:ind w:firstLine="484" w:firstLineChars="200"/>
        <w:rPr>
          <w:rFonts w:ascii="宋体" w:hAnsi="宋体" w:eastAsia="宋体"/>
          <w:sz w:val="24"/>
          <w:szCs w:val="24"/>
          <w:highlight w:val="none"/>
          <w:lang w:eastAsia="zh-CN"/>
        </w:rPr>
      </w:pPr>
      <w:r>
        <w:rPr>
          <w:rFonts w:ascii="宋体" w:hAnsi="宋体" w:eastAsia="宋体"/>
          <w:spacing w:val="1"/>
          <w:sz w:val="24"/>
          <w:szCs w:val="24"/>
          <w:highlight w:val="none"/>
          <w:u w:val="single"/>
          <w:lang w:eastAsia="zh-CN"/>
        </w:rPr>
        <w:t>3</w:t>
      </w:r>
      <w:r>
        <w:rPr>
          <w:rFonts w:hint="eastAsia" w:ascii="宋体" w:hAnsi="宋体" w:eastAsia="宋体"/>
          <w:spacing w:val="1"/>
          <w:sz w:val="24"/>
          <w:szCs w:val="24"/>
          <w:highlight w:val="none"/>
          <w:u w:val="single"/>
          <w:lang w:eastAsia="zh-CN"/>
        </w:rPr>
        <w:t>、经批复的环境影响报告书及后续设计资料等。</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58" w:name="_Toc16675"/>
      <w:bookmarkStart w:id="659" w:name="_Toc13502"/>
      <w:bookmarkStart w:id="660" w:name="_Toc508201357"/>
      <w:bookmarkStart w:id="661" w:name="_Toc508200419"/>
      <w:r>
        <w:rPr>
          <w:rFonts w:ascii="Times New Roman" w:hAnsi="Times New Roman" w:eastAsia="黑体"/>
          <w:sz w:val="28"/>
          <w:szCs w:val="21"/>
          <w:highlight w:val="none"/>
          <w:lang w:eastAsia="zh-CN"/>
        </w:rPr>
        <w:t>1.4合同文件的优先顺序</w:t>
      </w:r>
      <w:bookmarkEnd w:id="658"/>
      <w:bookmarkEnd w:id="659"/>
      <w:bookmarkEnd w:id="660"/>
      <w:bookmarkEnd w:id="661"/>
    </w:p>
    <w:p>
      <w:pPr>
        <w:pStyle w:val="110"/>
        <w:spacing w:after="0" w:line="440" w:lineRule="atLeast"/>
        <w:ind w:firstLine="480" w:firstLineChars="200"/>
        <w:rPr>
          <w:rFonts w:ascii="Times New Roman" w:hAnsi="Times New Roman"/>
          <w:spacing w:val="1"/>
          <w:sz w:val="24"/>
          <w:szCs w:val="24"/>
          <w:highlight w:val="none"/>
          <w:lang w:eastAsia="zh-CN"/>
        </w:rPr>
      </w:pPr>
      <w:r>
        <w:rPr>
          <w:rFonts w:ascii="Times New Roman" w:hAnsi="Times New Roman" w:eastAsia="宋体"/>
          <w:sz w:val="24"/>
          <w:szCs w:val="24"/>
          <w:highlight w:val="none"/>
          <w:lang w:eastAsia="zh-CN"/>
        </w:rPr>
        <w:t>合同文件组成及解释合同文件的优先顺序：</w:t>
      </w:r>
      <w:r>
        <w:rPr>
          <w:rFonts w:hint="eastAsia" w:ascii="Times New Roman" w:hAnsi="Times New Roman" w:eastAsia="宋体"/>
          <w:spacing w:val="1"/>
          <w:sz w:val="24"/>
          <w:szCs w:val="24"/>
          <w:highlight w:val="none"/>
          <w:u w:val="single"/>
          <w:lang w:eastAsia="zh-CN"/>
        </w:rPr>
        <w:t>/</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62" w:name="_Toc2977"/>
      <w:bookmarkStart w:id="663" w:name="_Toc14718"/>
      <w:bookmarkStart w:id="664" w:name="_Toc508200420"/>
      <w:bookmarkStart w:id="665" w:name="_Toc508201358"/>
      <w:bookmarkStart w:id="666" w:name="_Toc506006141"/>
      <w:r>
        <w:rPr>
          <w:rFonts w:ascii="Times New Roman" w:hAnsi="Times New Roman" w:eastAsia="黑体"/>
          <w:sz w:val="28"/>
          <w:szCs w:val="21"/>
          <w:highlight w:val="none"/>
          <w:lang w:eastAsia="zh-CN"/>
        </w:rPr>
        <w:t>1.6 文件的提供</w:t>
      </w:r>
      <w:bookmarkEnd w:id="662"/>
      <w:bookmarkEnd w:id="663"/>
      <w:bookmarkEnd w:id="664"/>
      <w:bookmarkEnd w:id="665"/>
      <w:bookmarkEnd w:id="666"/>
    </w:p>
    <w:p>
      <w:pPr>
        <w:pStyle w:val="111"/>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1.6.1</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成果文件的提供</w:t>
      </w:r>
    </w:p>
    <w:p>
      <w:pPr>
        <w:pStyle w:val="109"/>
        <w:spacing w:before="0" w:after="0" w:line="440" w:lineRule="exact"/>
        <w:ind w:firstLine="480"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向委托人提供</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成果文件的期限：</w:t>
      </w:r>
      <w:r>
        <w:rPr>
          <w:rFonts w:hint="eastAsia" w:ascii="Times New Roman" w:hAnsi="Times New Roman" w:eastAsia="宋体"/>
          <w:spacing w:val="1"/>
          <w:sz w:val="24"/>
          <w:szCs w:val="24"/>
          <w:highlight w:val="none"/>
          <w:u w:val="single"/>
          <w:lang w:eastAsia="zh-CN"/>
        </w:rPr>
        <w:t>在合同签订后，服务人及时为委托人进行相关的技术服务，服务期限为本合同双方签字盖章之日起至水土保持/环境保护设施验收合格后止；接受委托后立即编制监测实施方案，制定监测计划；按季度编制季报，并于每季度第一个月向行政主管部门报送；按年度编制监测年报，并于每年第一个月向行政主管部门报送；在设施验收前编制监测总结报告，配合委托人完成验收工作；全过程配合行政主管部门监督检查，特别是向湖南省水利/环境厅做好汇报工作。</w:t>
      </w:r>
    </w:p>
    <w:p>
      <w:pPr>
        <w:pStyle w:val="109"/>
        <w:spacing w:before="0" w:after="0" w:line="440" w:lineRule="exac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向委托人</w:t>
      </w:r>
      <w:r>
        <w:rPr>
          <w:rFonts w:ascii="Times New Roman" w:hAnsi="Times New Roman" w:eastAsia="宋体"/>
          <w:spacing w:val="1"/>
          <w:sz w:val="24"/>
          <w:szCs w:val="24"/>
          <w:highlight w:val="none"/>
          <w:lang w:eastAsia="zh-CN"/>
        </w:rPr>
        <w:t>提供</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成果文件的份数：</w:t>
      </w:r>
      <w:r>
        <w:rPr>
          <w:rFonts w:hint="eastAsia" w:ascii="Times New Roman" w:hAnsi="Times New Roman" w:eastAsia="宋体"/>
          <w:spacing w:val="1"/>
          <w:sz w:val="24"/>
          <w:szCs w:val="24"/>
          <w:highlight w:val="none"/>
          <w:u w:val="single"/>
          <w:lang w:eastAsia="zh-CN"/>
        </w:rPr>
        <w:t>一式八份</w:t>
      </w:r>
    </w:p>
    <w:p>
      <w:pPr>
        <w:pStyle w:val="109"/>
        <w:spacing w:before="0" w:after="0" w:line="440" w:lineRule="exact"/>
        <w:ind w:firstLine="484"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合同约定</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成果文件应经委托人批复的，委托人应当</w:t>
      </w:r>
      <w:r>
        <w:rPr>
          <w:rFonts w:ascii="Times New Roman" w:hAnsi="Times New Roman" w:eastAsia="宋体"/>
          <w:sz w:val="24"/>
          <w:szCs w:val="24"/>
          <w:highlight w:val="none"/>
          <w:lang w:eastAsia="zh-CN"/>
        </w:rPr>
        <w:t>在</w:t>
      </w:r>
      <w:r>
        <w:rPr>
          <w:rFonts w:hint="eastAsia" w:ascii="Times New Roman" w:hAnsi="Times New Roman" w:eastAsia="宋体"/>
          <w:sz w:val="24"/>
          <w:szCs w:val="24"/>
          <w:highlight w:val="none"/>
          <w:u w:val="single"/>
          <w:lang w:eastAsia="zh-CN"/>
        </w:rPr>
        <w:t>10</w:t>
      </w:r>
      <w:r>
        <w:rPr>
          <w:rFonts w:ascii="Times New Roman" w:hAnsi="Times New Roman" w:eastAsia="宋体"/>
          <w:spacing w:val="1"/>
          <w:sz w:val="24"/>
          <w:szCs w:val="24"/>
          <w:highlight w:val="none"/>
          <w:lang w:eastAsia="zh-CN"/>
        </w:rPr>
        <w:t>日内批复或提出修改意见。</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1.6.2</w:t>
      </w:r>
      <w:r>
        <w:rPr>
          <w:rFonts w:ascii="Times New Roman" w:hAnsi="Times New Roman" w:eastAsia="宋体"/>
          <w:spacing w:val="1"/>
          <w:sz w:val="24"/>
          <w:szCs w:val="24"/>
          <w:highlight w:val="none"/>
          <w:lang w:eastAsia="zh-CN"/>
        </w:rPr>
        <w:t>委托人提供的文件</w:t>
      </w:r>
    </w:p>
    <w:p>
      <w:pPr>
        <w:pStyle w:val="11"/>
        <w:spacing w:line="440" w:lineRule="atLeast"/>
        <w:ind w:firstLine="480" w:firstLineChars="200"/>
        <w:jc w:val="left"/>
        <w:rPr>
          <w:sz w:val="24"/>
          <w:highlight w:val="none"/>
        </w:rPr>
      </w:pPr>
      <w:r>
        <w:rPr>
          <w:sz w:val="24"/>
          <w:highlight w:val="none"/>
        </w:rPr>
        <w:t>委托人向</w:t>
      </w:r>
      <w:r>
        <w:rPr>
          <w:rFonts w:hint="eastAsia"/>
          <w:sz w:val="24"/>
          <w:highlight w:val="none"/>
        </w:rPr>
        <w:t>服务人</w:t>
      </w:r>
      <w:r>
        <w:rPr>
          <w:sz w:val="24"/>
          <w:highlight w:val="none"/>
        </w:rPr>
        <w:t>提供</w:t>
      </w:r>
      <w:r>
        <w:rPr>
          <w:rFonts w:hint="eastAsia"/>
          <w:sz w:val="24"/>
          <w:highlight w:val="none"/>
        </w:rPr>
        <w:t>服务</w:t>
      </w:r>
      <w:r>
        <w:rPr>
          <w:sz w:val="24"/>
          <w:highlight w:val="none"/>
        </w:rPr>
        <w:t>资料的内容：</w:t>
      </w:r>
      <w:r>
        <w:rPr>
          <w:rFonts w:hint="eastAsia"/>
          <w:sz w:val="24"/>
          <w:highlight w:val="none"/>
          <w:u w:val="single"/>
        </w:rPr>
        <w:t>经批复的水土保持方案/环境影响报告书等相关资料</w:t>
      </w:r>
    </w:p>
    <w:p>
      <w:pPr>
        <w:pStyle w:val="11"/>
        <w:spacing w:line="440" w:lineRule="atLeast"/>
        <w:ind w:firstLine="480" w:firstLineChars="200"/>
        <w:jc w:val="left"/>
        <w:rPr>
          <w:sz w:val="24"/>
          <w:highlight w:val="none"/>
        </w:rPr>
      </w:pPr>
      <w:r>
        <w:rPr>
          <w:sz w:val="24"/>
          <w:highlight w:val="none"/>
        </w:rPr>
        <w:t>委托人向</w:t>
      </w:r>
      <w:r>
        <w:rPr>
          <w:rFonts w:hint="eastAsia"/>
          <w:sz w:val="24"/>
          <w:highlight w:val="none"/>
        </w:rPr>
        <w:t>服务人</w:t>
      </w:r>
      <w:r>
        <w:rPr>
          <w:sz w:val="24"/>
          <w:highlight w:val="none"/>
        </w:rPr>
        <w:t>提供</w:t>
      </w:r>
      <w:r>
        <w:rPr>
          <w:rFonts w:hint="eastAsia"/>
          <w:sz w:val="24"/>
          <w:highlight w:val="none"/>
        </w:rPr>
        <w:t>服务</w:t>
      </w:r>
      <w:r>
        <w:rPr>
          <w:sz w:val="24"/>
          <w:highlight w:val="none"/>
        </w:rPr>
        <w:t>资料的份数：</w:t>
      </w:r>
      <w:r>
        <w:rPr>
          <w:rFonts w:hint="eastAsia"/>
          <w:spacing w:val="1"/>
          <w:sz w:val="24"/>
          <w:szCs w:val="24"/>
          <w:highlight w:val="none"/>
          <w:u w:val="single"/>
        </w:rPr>
        <w:t>一份</w:t>
      </w:r>
    </w:p>
    <w:p>
      <w:pPr>
        <w:pStyle w:val="111"/>
        <w:spacing w:before="0" w:after="0" w:line="440" w:lineRule="atLeast"/>
        <w:ind w:firstLine="480" w:firstLineChars="200"/>
        <w:rPr>
          <w:rFonts w:ascii="Times New Roman" w:hAnsi="Times New Roman"/>
          <w:sz w:val="24"/>
          <w:szCs w:val="24"/>
          <w:highlight w:val="none"/>
          <w:lang w:eastAsia="zh-CN"/>
        </w:rPr>
      </w:pPr>
      <w:r>
        <w:rPr>
          <w:rFonts w:hint="eastAsia" w:ascii="宋体" w:hAnsi="宋体" w:eastAsia="宋体" w:cs="微软雅黑"/>
          <w:sz w:val="24"/>
          <w:szCs w:val="24"/>
          <w:highlight w:val="none"/>
          <w:lang w:eastAsia="zh-CN"/>
        </w:rPr>
        <w:t>委托人向</w:t>
      </w:r>
      <w:r>
        <w:rPr>
          <w:rFonts w:hint="eastAsia" w:ascii="宋体" w:hAnsi="宋体" w:eastAsia="宋体"/>
          <w:sz w:val="24"/>
          <w:szCs w:val="24"/>
          <w:highlight w:val="none"/>
          <w:lang w:eastAsia="zh-CN"/>
        </w:rPr>
        <w:t>服务人</w:t>
      </w:r>
      <w:r>
        <w:rPr>
          <w:rFonts w:hint="eastAsia" w:ascii="宋体" w:hAnsi="宋体" w:eastAsia="宋体" w:cs="微软雅黑"/>
          <w:sz w:val="24"/>
          <w:szCs w:val="24"/>
          <w:highlight w:val="none"/>
          <w:lang w:eastAsia="zh-CN"/>
        </w:rPr>
        <w:t>提供</w:t>
      </w:r>
      <w:r>
        <w:rPr>
          <w:rFonts w:hint="eastAsia" w:ascii="宋体" w:hAnsi="宋体" w:eastAsia="宋体"/>
          <w:sz w:val="24"/>
          <w:szCs w:val="24"/>
          <w:highlight w:val="none"/>
          <w:lang w:eastAsia="zh-CN"/>
        </w:rPr>
        <w:t>服务</w:t>
      </w:r>
      <w:r>
        <w:rPr>
          <w:rFonts w:hint="eastAsia" w:ascii="宋体" w:hAnsi="宋体" w:eastAsia="宋体" w:cs="微软雅黑"/>
          <w:sz w:val="24"/>
          <w:szCs w:val="24"/>
          <w:highlight w:val="none"/>
          <w:lang w:eastAsia="zh-CN"/>
        </w:rPr>
        <w:t>资料的期限</w:t>
      </w:r>
      <w:r>
        <w:rPr>
          <w:rFonts w:hint="eastAsia" w:ascii="微软雅黑" w:hAnsi="微软雅黑" w:eastAsia="微软雅黑" w:cs="微软雅黑"/>
          <w:sz w:val="24"/>
          <w:szCs w:val="24"/>
          <w:highlight w:val="none"/>
          <w:lang w:eastAsia="zh-CN"/>
        </w:rPr>
        <w:t>：</w:t>
      </w:r>
      <w:r>
        <w:rPr>
          <w:rFonts w:hint="eastAsia" w:ascii="Times New Roman" w:hAnsi="Times New Roman" w:eastAsia="宋体"/>
          <w:spacing w:val="1"/>
          <w:sz w:val="24"/>
          <w:szCs w:val="24"/>
          <w:highlight w:val="none"/>
          <w:u w:val="single"/>
          <w:lang w:eastAsia="zh-CN"/>
        </w:rPr>
        <w:t>在本合同生效之日起，且在取得相关文件、资料7日内，向服务人免费提供相关资料。</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67" w:name="_Toc508201359"/>
      <w:bookmarkStart w:id="668" w:name="_Toc508200421"/>
      <w:bookmarkStart w:id="669" w:name="_Toc1815"/>
      <w:bookmarkStart w:id="670" w:name="_Toc8645"/>
      <w:bookmarkStart w:id="671" w:name="_Toc506008008"/>
      <w:bookmarkStart w:id="672" w:name="_Toc506006142"/>
      <w:r>
        <w:rPr>
          <w:rFonts w:ascii="Times New Roman" w:hAnsi="Times New Roman" w:eastAsia="黑体"/>
          <w:sz w:val="28"/>
          <w:szCs w:val="21"/>
          <w:highlight w:val="none"/>
          <w:lang w:eastAsia="zh-CN"/>
        </w:rPr>
        <w:t>1.7 联络</w:t>
      </w:r>
      <w:bookmarkEnd w:id="667"/>
      <w:bookmarkEnd w:id="668"/>
      <w:bookmarkEnd w:id="669"/>
      <w:bookmarkEnd w:id="670"/>
      <w:bookmarkEnd w:id="671"/>
    </w:p>
    <w:p>
      <w:pPr>
        <w:pStyle w:val="109"/>
        <w:spacing w:before="0" w:after="0" w:line="440" w:lineRule="atLeast"/>
        <w:ind w:firstLine="480" w:firstLineChars="200"/>
        <w:rPr>
          <w:rFonts w:ascii="Times New Roman" w:hAnsi="Times New Roman" w:eastAsia="宋体"/>
          <w:sz w:val="24"/>
          <w:szCs w:val="24"/>
          <w:highlight w:val="none"/>
          <w:lang w:eastAsia="zh-CN"/>
        </w:rPr>
      </w:pPr>
      <w:r>
        <w:rPr>
          <w:rFonts w:ascii="Times New Roman" w:hAnsi="Times New Roman"/>
          <w:b/>
          <w:sz w:val="24"/>
          <w:szCs w:val="24"/>
          <w:highlight w:val="none"/>
          <w:lang w:eastAsia="zh-CN"/>
        </w:rPr>
        <w:t>1.7.2</w:t>
      </w:r>
      <w:r>
        <w:rPr>
          <w:rFonts w:ascii="Times New Roman" w:hAnsi="Times New Roman" w:eastAsia="宋体"/>
          <w:sz w:val="24"/>
          <w:szCs w:val="24"/>
          <w:highlight w:val="none"/>
          <w:lang w:eastAsia="zh-CN"/>
        </w:rPr>
        <w:t>委托人和</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应将与合同有关的</w:t>
      </w:r>
      <w:r>
        <w:rPr>
          <w:rFonts w:ascii="Times New Roman" w:hAnsi="Times New Roman" w:eastAsia="宋体"/>
          <w:spacing w:val="-2"/>
          <w:sz w:val="24"/>
          <w:szCs w:val="24"/>
          <w:highlight w:val="none"/>
          <w:lang w:eastAsia="zh-CN"/>
        </w:rPr>
        <w:t>通知、批准、证明、证书、指示、要求、请求、同意、意见、确定和决定等来往</w:t>
      </w:r>
      <w:r>
        <w:rPr>
          <w:rFonts w:ascii="Times New Roman" w:hAnsi="Times New Roman" w:eastAsia="宋体"/>
          <w:sz w:val="24"/>
          <w:szCs w:val="24"/>
          <w:highlight w:val="none"/>
          <w:lang w:eastAsia="zh-CN"/>
        </w:rPr>
        <w:t>函件，送达指定的地点和指定的接收人，并办理签收手续。</w:t>
      </w:r>
    </w:p>
    <w:p>
      <w:pPr>
        <w:pStyle w:val="109"/>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eastAsia="宋体"/>
          <w:sz w:val="24"/>
          <w:szCs w:val="24"/>
          <w:highlight w:val="none"/>
          <w:lang w:eastAsia="zh-CN"/>
        </w:rPr>
        <w:t>指定的地点和接收人如下：</w:t>
      </w:r>
      <w:r>
        <w:rPr>
          <w:rFonts w:hint="eastAsia" w:ascii="Times New Roman" w:hAnsi="Times New Roman" w:eastAsia="宋体"/>
          <w:spacing w:val="1"/>
          <w:sz w:val="24"/>
          <w:szCs w:val="24"/>
          <w:highlight w:val="none"/>
          <w:u w:val="single"/>
          <w:lang w:eastAsia="zh-CN"/>
        </w:rPr>
        <w:t>另行确认</w:t>
      </w:r>
    </w:p>
    <w:p>
      <w:pPr>
        <w:pStyle w:val="11"/>
        <w:spacing w:line="440" w:lineRule="atLeast"/>
        <w:ind w:firstLine="480" w:firstLineChars="200"/>
        <w:jc w:val="both"/>
        <w:rPr>
          <w:sz w:val="24"/>
          <w:highlight w:val="none"/>
        </w:rPr>
      </w:pPr>
      <w:r>
        <w:rPr>
          <w:sz w:val="24"/>
          <w:highlight w:val="none"/>
        </w:rPr>
        <w:t>委托人接收来往函件的指定地点：</w:t>
      </w:r>
      <w:r>
        <w:rPr>
          <w:rFonts w:hint="eastAsia"/>
          <w:spacing w:val="1"/>
          <w:sz w:val="24"/>
          <w:szCs w:val="24"/>
          <w:highlight w:val="none"/>
          <w:u w:val="single"/>
        </w:rPr>
        <w:t>另行确认</w:t>
      </w:r>
    </w:p>
    <w:p>
      <w:pPr>
        <w:pStyle w:val="11"/>
        <w:spacing w:line="440" w:lineRule="atLeast"/>
        <w:ind w:firstLine="480" w:firstLineChars="200"/>
        <w:jc w:val="both"/>
        <w:rPr>
          <w:sz w:val="24"/>
          <w:highlight w:val="none"/>
        </w:rPr>
      </w:pPr>
      <w:r>
        <w:rPr>
          <w:sz w:val="24"/>
          <w:highlight w:val="none"/>
        </w:rPr>
        <w:t>委托人接收来往函件的指定接收人：</w:t>
      </w:r>
      <w:r>
        <w:rPr>
          <w:rFonts w:hint="eastAsia"/>
          <w:spacing w:val="1"/>
          <w:sz w:val="24"/>
          <w:szCs w:val="24"/>
          <w:highlight w:val="none"/>
          <w:u w:val="single"/>
        </w:rPr>
        <w:t>另行确认</w:t>
      </w:r>
    </w:p>
    <w:p>
      <w:pPr>
        <w:pStyle w:val="11"/>
        <w:spacing w:line="440" w:lineRule="atLeast"/>
        <w:ind w:firstLine="480" w:firstLineChars="200"/>
        <w:jc w:val="both"/>
        <w:rPr>
          <w:sz w:val="24"/>
          <w:highlight w:val="none"/>
        </w:rPr>
      </w:pPr>
      <w:r>
        <w:rPr>
          <w:sz w:val="24"/>
          <w:highlight w:val="none"/>
        </w:rPr>
        <w:t>委托人指定的联系方式：</w:t>
      </w:r>
      <w:r>
        <w:rPr>
          <w:rFonts w:hint="eastAsia"/>
          <w:spacing w:val="1"/>
          <w:sz w:val="24"/>
          <w:szCs w:val="24"/>
          <w:highlight w:val="none"/>
          <w:u w:val="single"/>
        </w:rPr>
        <w:t>另行确认</w:t>
      </w:r>
    </w:p>
    <w:p>
      <w:pPr>
        <w:pStyle w:val="11"/>
        <w:spacing w:line="440" w:lineRule="atLeast"/>
        <w:ind w:firstLine="480" w:firstLineChars="200"/>
        <w:jc w:val="both"/>
        <w:rPr>
          <w:sz w:val="24"/>
          <w:highlight w:val="none"/>
        </w:rPr>
      </w:pPr>
      <w:r>
        <w:rPr>
          <w:rFonts w:hint="eastAsia"/>
          <w:sz w:val="24"/>
          <w:highlight w:val="none"/>
        </w:rPr>
        <w:t>服务人</w:t>
      </w:r>
      <w:r>
        <w:rPr>
          <w:sz w:val="24"/>
          <w:highlight w:val="none"/>
        </w:rPr>
        <w:t>接收来往函件的指定地点：</w:t>
      </w:r>
      <w:r>
        <w:rPr>
          <w:rFonts w:hint="eastAsia"/>
          <w:spacing w:val="1"/>
          <w:sz w:val="24"/>
          <w:szCs w:val="24"/>
          <w:highlight w:val="none"/>
          <w:u w:val="single"/>
        </w:rPr>
        <w:t>另行确认</w:t>
      </w:r>
    </w:p>
    <w:p>
      <w:pPr>
        <w:pStyle w:val="11"/>
        <w:spacing w:line="440" w:lineRule="atLeast"/>
        <w:ind w:firstLine="480" w:firstLineChars="200"/>
        <w:jc w:val="both"/>
        <w:rPr>
          <w:sz w:val="24"/>
          <w:highlight w:val="none"/>
        </w:rPr>
      </w:pPr>
      <w:r>
        <w:rPr>
          <w:rFonts w:hint="eastAsia"/>
          <w:sz w:val="24"/>
          <w:highlight w:val="none"/>
        </w:rPr>
        <w:t>服务人</w:t>
      </w:r>
      <w:r>
        <w:rPr>
          <w:sz w:val="24"/>
          <w:highlight w:val="none"/>
        </w:rPr>
        <w:t>接收来往函件的指定接收人：</w:t>
      </w:r>
      <w:r>
        <w:rPr>
          <w:rFonts w:hint="eastAsia"/>
          <w:spacing w:val="1"/>
          <w:sz w:val="24"/>
          <w:szCs w:val="24"/>
          <w:highlight w:val="none"/>
          <w:u w:val="single"/>
        </w:rPr>
        <w:t>另行确认</w:t>
      </w:r>
    </w:p>
    <w:p>
      <w:pPr>
        <w:pStyle w:val="11"/>
        <w:spacing w:line="440" w:lineRule="atLeast"/>
        <w:ind w:firstLine="480" w:firstLineChars="200"/>
        <w:jc w:val="both"/>
        <w:rPr>
          <w:sz w:val="24"/>
          <w:highlight w:val="none"/>
        </w:rPr>
      </w:pPr>
      <w:r>
        <w:rPr>
          <w:rFonts w:hint="eastAsia"/>
          <w:sz w:val="24"/>
          <w:highlight w:val="none"/>
        </w:rPr>
        <w:t>服务人</w:t>
      </w:r>
      <w:r>
        <w:rPr>
          <w:sz w:val="24"/>
          <w:highlight w:val="none"/>
        </w:rPr>
        <w:t>指定的联系方式：</w:t>
      </w:r>
      <w:r>
        <w:rPr>
          <w:rFonts w:hint="eastAsia"/>
          <w:spacing w:val="1"/>
          <w:sz w:val="24"/>
          <w:szCs w:val="24"/>
          <w:highlight w:val="none"/>
          <w:u w:val="single"/>
        </w:rPr>
        <w:t>另行确认</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73" w:name="_Toc17970"/>
      <w:bookmarkStart w:id="674" w:name="_Toc508200422"/>
      <w:bookmarkStart w:id="675" w:name="_Toc506008009"/>
      <w:bookmarkStart w:id="676" w:name="_Toc508201360"/>
      <w:bookmarkStart w:id="677" w:name="_Toc7598"/>
      <w:r>
        <w:rPr>
          <w:rFonts w:ascii="Times New Roman" w:hAnsi="Times New Roman" w:eastAsia="黑体"/>
          <w:sz w:val="28"/>
          <w:szCs w:val="21"/>
          <w:highlight w:val="none"/>
          <w:lang w:eastAsia="zh-CN"/>
        </w:rPr>
        <w:t>1.8 转让</w:t>
      </w:r>
      <w:bookmarkEnd w:id="673"/>
      <w:bookmarkEnd w:id="674"/>
      <w:bookmarkEnd w:id="675"/>
      <w:bookmarkEnd w:id="676"/>
      <w:bookmarkEnd w:id="677"/>
    </w:p>
    <w:p>
      <w:pPr>
        <w:pStyle w:val="111"/>
        <w:spacing w:line="440" w:lineRule="atLeast"/>
        <w:ind w:firstLine="480" w:firstLineChars="200"/>
        <w:rPr>
          <w:rFonts w:ascii="Times New Roman" w:hAnsi="Times New Roman" w:eastAsia="宋体"/>
          <w:spacing w:val="1"/>
          <w:sz w:val="24"/>
          <w:szCs w:val="24"/>
          <w:highlight w:val="none"/>
          <w:u w:val="single"/>
          <w:lang w:eastAsia="zh-CN"/>
        </w:rPr>
      </w:pPr>
      <w:r>
        <w:rPr>
          <w:rFonts w:ascii="Times New Roman" w:hAnsi="Times New Roman" w:eastAsia="宋体"/>
          <w:sz w:val="24"/>
          <w:szCs w:val="24"/>
          <w:highlight w:val="none"/>
          <w:lang w:eastAsia="zh-CN"/>
        </w:rPr>
        <w:t>关于转让合同权利义务的约定</w:t>
      </w:r>
      <w:r>
        <w:rPr>
          <w:rFonts w:ascii="Times New Roman" w:hAnsi="Times New Roman" w:eastAsia="宋体"/>
          <w:spacing w:val="1"/>
          <w:sz w:val="24"/>
          <w:szCs w:val="24"/>
          <w:highlight w:val="none"/>
          <w:lang w:eastAsia="zh-CN"/>
        </w:rPr>
        <w:t>：</w:t>
      </w:r>
      <w:r>
        <w:rPr>
          <w:rFonts w:hint="eastAsia" w:ascii="Times New Roman" w:hAnsi="Times New Roman" w:eastAsia="宋体"/>
          <w:spacing w:val="1"/>
          <w:sz w:val="24"/>
          <w:szCs w:val="24"/>
          <w:highlight w:val="none"/>
          <w:u w:val="single"/>
          <w:lang w:eastAsia="zh-CN"/>
        </w:rPr>
        <w:t>未经对方当事人同意，一方当事人不得将合同权利全部或部分转让给第三人，也不得全部或部分转移合同义务。</w:t>
      </w:r>
    </w:p>
    <w:bookmarkEnd w:id="672"/>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78" w:name="_Toc508201361"/>
      <w:bookmarkStart w:id="679" w:name="_Toc20835"/>
      <w:bookmarkStart w:id="680" w:name="_Toc506006143"/>
      <w:bookmarkStart w:id="681" w:name="_Toc7899"/>
      <w:bookmarkStart w:id="682" w:name="_Toc508200423"/>
      <w:r>
        <w:rPr>
          <w:rFonts w:ascii="Times New Roman" w:hAnsi="Times New Roman" w:eastAsia="黑体"/>
          <w:sz w:val="28"/>
          <w:szCs w:val="21"/>
          <w:highlight w:val="none"/>
          <w:lang w:eastAsia="zh-CN"/>
        </w:rPr>
        <w:t>1.10 知识产权</w:t>
      </w:r>
      <w:bookmarkEnd w:id="678"/>
      <w:bookmarkEnd w:id="679"/>
      <w:bookmarkEnd w:id="680"/>
      <w:bookmarkEnd w:id="681"/>
      <w:bookmarkEnd w:id="682"/>
    </w:p>
    <w:p>
      <w:pPr>
        <w:pStyle w:val="11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1.10.1</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完成的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工作成果的著作权</w:t>
      </w:r>
      <w:r>
        <w:rPr>
          <w:rFonts w:ascii="Times New Roman" w:hAnsi="Times New Roman" w:eastAsia="宋体"/>
          <w:sz w:val="24"/>
          <w:szCs w:val="24"/>
          <w:highlight w:val="none"/>
          <w:lang w:eastAsia="zh-CN"/>
        </w:rPr>
        <w:t>和其他知识产权归属：</w:t>
      </w:r>
      <w:r>
        <w:rPr>
          <w:rFonts w:hint="eastAsia" w:ascii="Times New Roman" w:hAnsi="Times New Roman" w:eastAsia="宋体"/>
          <w:sz w:val="24"/>
          <w:szCs w:val="24"/>
          <w:highlight w:val="none"/>
          <w:u w:val="single"/>
          <w:lang w:eastAsia="zh-CN"/>
        </w:rPr>
        <w:t>均归属</w:t>
      </w:r>
      <w:r>
        <w:rPr>
          <w:rFonts w:hint="eastAsia" w:ascii="Times New Roman" w:hAnsi="Times New Roman" w:eastAsia="宋体"/>
          <w:spacing w:val="1"/>
          <w:sz w:val="24"/>
          <w:szCs w:val="24"/>
          <w:highlight w:val="none"/>
          <w:u w:val="single"/>
          <w:lang w:eastAsia="zh-CN"/>
        </w:rPr>
        <w:t>委托人。</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83" w:name="_Toc508201362"/>
      <w:bookmarkStart w:id="684" w:name="_Toc506006144"/>
      <w:bookmarkStart w:id="685" w:name="_Toc27110"/>
      <w:bookmarkStart w:id="686" w:name="_Toc22696"/>
      <w:bookmarkStart w:id="687" w:name="_Toc508200424"/>
      <w:r>
        <w:rPr>
          <w:rFonts w:ascii="Times New Roman" w:hAnsi="Times New Roman" w:eastAsia="黑体"/>
          <w:sz w:val="28"/>
          <w:szCs w:val="21"/>
          <w:highlight w:val="none"/>
          <w:lang w:eastAsia="zh-CN"/>
        </w:rPr>
        <w:t>1.12 委托人要求</w:t>
      </w:r>
      <w:bookmarkEnd w:id="683"/>
      <w:bookmarkEnd w:id="684"/>
      <w:bookmarkEnd w:id="685"/>
      <w:bookmarkEnd w:id="686"/>
      <w:bookmarkEnd w:id="687"/>
    </w:p>
    <w:p>
      <w:pPr>
        <w:pStyle w:val="112"/>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1.12.1</w:t>
      </w:r>
      <w:r>
        <w:rPr>
          <w:rFonts w:ascii="Times New Roman" w:hAnsi="Times New Roman" w:eastAsia="宋体"/>
          <w:spacing w:val="1"/>
          <w:sz w:val="24"/>
          <w:szCs w:val="24"/>
          <w:highlight w:val="none"/>
          <w:lang w:eastAsia="zh-CN"/>
        </w:rPr>
        <w:t>委托人要求需要修改或存在错误导致</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费用增加和(或)</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期限延误的，由</w:t>
      </w:r>
      <w:r>
        <w:rPr>
          <w:rFonts w:ascii="Times New Roman" w:hAnsi="Times New Roman" w:eastAsia="宋体"/>
          <w:spacing w:val="1"/>
          <w:sz w:val="24"/>
          <w:szCs w:val="24"/>
          <w:highlight w:val="none"/>
          <w:u w:val="single"/>
          <w:lang w:eastAsia="zh-CN"/>
        </w:rPr>
        <w:t>委托人</w:t>
      </w:r>
      <w:r>
        <w:rPr>
          <w:rFonts w:ascii="Times New Roman" w:hAnsi="Times New Roman" w:eastAsia="宋体"/>
          <w:spacing w:val="1"/>
          <w:sz w:val="24"/>
          <w:szCs w:val="24"/>
          <w:highlight w:val="none"/>
          <w:lang w:eastAsia="zh-CN"/>
        </w:rPr>
        <w:t>承担由此导致的费用增加和（或）周期延误。</w:t>
      </w:r>
    </w:p>
    <w:p>
      <w:pPr>
        <w:pStyle w:val="113"/>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1.12.3</w:t>
      </w:r>
      <w:r>
        <w:rPr>
          <w:rFonts w:ascii="Times New Roman" w:hAnsi="Times New Roman" w:eastAsia="宋体"/>
          <w:spacing w:val="1"/>
          <w:sz w:val="24"/>
          <w:szCs w:val="24"/>
          <w:highlight w:val="none"/>
          <w:lang w:eastAsia="zh-CN"/>
        </w:rPr>
        <w:t>委托人要求采用国外规范和标准进行</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时，应由委托人负责提供该规范和标准的</w:t>
      </w:r>
      <w:r>
        <w:rPr>
          <w:rFonts w:ascii="Times New Roman" w:hAnsi="Times New Roman" w:eastAsia="宋体"/>
          <w:sz w:val="24"/>
          <w:szCs w:val="24"/>
          <w:highlight w:val="none"/>
          <w:lang w:eastAsia="zh-CN"/>
        </w:rPr>
        <w:t>外国文本和中文译本，提供的时间、份数和其他要求：</w:t>
      </w:r>
      <w:r>
        <w:rPr>
          <w:rFonts w:hint="eastAsia" w:ascii="Times New Roman" w:hAnsi="Times New Roman" w:eastAsia="宋体"/>
          <w:spacing w:val="1"/>
          <w:sz w:val="24"/>
          <w:szCs w:val="24"/>
          <w:highlight w:val="none"/>
          <w:u w:val="single"/>
          <w:lang w:eastAsia="zh-CN"/>
        </w:rPr>
        <w:t>/</w:t>
      </w:r>
    </w:p>
    <w:p>
      <w:pPr>
        <w:pStyle w:val="107"/>
        <w:spacing w:before="260" w:after="260" w:line="440" w:lineRule="atLeast"/>
        <w:rPr>
          <w:rFonts w:ascii="Times New Roman" w:hAnsi="Times New Roman" w:eastAsia="黑体"/>
          <w:b/>
          <w:spacing w:val="1"/>
          <w:sz w:val="32"/>
          <w:szCs w:val="32"/>
          <w:highlight w:val="none"/>
          <w:lang w:eastAsia="zh-CN"/>
        </w:rPr>
      </w:pPr>
      <w:bookmarkStart w:id="688" w:name="_Toc508200425"/>
      <w:bookmarkStart w:id="689" w:name="_Toc508201363"/>
      <w:bookmarkStart w:id="690" w:name="_Toc1252"/>
      <w:bookmarkStart w:id="691" w:name="_Toc20892"/>
      <w:bookmarkStart w:id="692" w:name="_Toc506006145"/>
      <w:bookmarkStart w:id="693" w:name="_Toc513817618"/>
      <w:r>
        <w:rPr>
          <w:rFonts w:ascii="Times New Roman" w:hAnsi="Times New Roman" w:eastAsia="黑体"/>
          <w:b/>
          <w:spacing w:val="1"/>
          <w:sz w:val="32"/>
          <w:szCs w:val="32"/>
          <w:highlight w:val="none"/>
          <w:lang w:eastAsia="zh-CN"/>
        </w:rPr>
        <w:t>3. 委托人管理</w:t>
      </w:r>
      <w:bookmarkEnd w:id="688"/>
      <w:bookmarkEnd w:id="689"/>
      <w:bookmarkEnd w:id="690"/>
      <w:bookmarkEnd w:id="691"/>
      <w:bookmarkEnd w:id="692"/>
      <w:bookmarkEnd w:id="693"/>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94" w:name="_Toc3575"/>
      <w:bookmarkStart w:id="695" w:name="_Toc506006146"/>
      <w:bookmarkStart w:id="696" w:name="_Toc508200426"/>
      <w:bookmarkStart w:id="697" w:name="_Toc6312"/>
      <w:bookmarkStart w:id="698" w:name="_Toc508201364"/>
      <w:r>
        <w:rPr>
          <w:rFonts w:ascii="Times New Roman" w:hAnsi="Times New Roman" w:eastAsia="黑体"/>
          <w:sz w:val="28"/>
          <w:szCs w:val="21"/>
          <w:highlight w:val="none"/>
          <w:lang w:eastAsia="zh-CN"/>
        </w:rPr>
        <w:t>3.1 委托人代表</w:t>
      </w:r>
      <w:bookmarkEnd w:id="694"/>
      <w:bookmarkEnd w:id="695"/>
      <w:bookmarkEnd w:id="696"/>
      <w:bookmarkEnd w:id="697"/>
      <w:bookmarkEnd w:id="698"/>
    </w:p>
    <w:p>
      <w:pPr>
        <w:pStyle w:val="113"/>
        <w:spacing w:line="440" w:lineRule="atLeast"/>
        <w:ind w:firstLine="480" w:firstLineChars="200"/>
        <w:rPr>
          <w:rFonts w:ascii="Times New Roman" w:hAnsi="Times New Roman" w:eastAsia="宋体"/>
          <w:spacing w:val="1"/>
          <w:sz w:val="24"/>
          <w:szCs w:val="24"/>
          <w:highlight w:val="none"/>
          <w:u w:val="single"/>
          <w:lang w:eastAsia="zh-CN"/>
        </w:rPr>
      </w:pPr>
      <w:r>
        <w:rPr>
          <w:rFonts w:ascii="Times New Roman" w:hAnsi="Times New Roman"/>
          <w:b/>
          <w:sz w:val="24"/>
          <w:szCs w:val="24"/>
          <w:highlight w:val="none"/>
          <w:lang w:eastAsia="zh-CN"/>
        </w:rPr>
        <w:t>3.1.1</w:t>
      </w:r>
      <w:r>
        <w:rPr>
          <w:rFonts w:ascii="Times New Roman" w:hAnsi="Times New Roman" w:eastAsia="宋体"/>
          <w:sz w:val="24"/>
          <w:szCs w:val="24"/>
          <w:highlight w:val="none"/>
          <w:lang w:eastAsia="zh-CN"/>
        </w:rPr>
        <w:t>委托人书面通知</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委托人代表的期限：</w:t>
      </w:r>
      <w:r>
        <w:rPr>
          <w:rFonts w:hint="eastAsia" w:ascii="Times New Roman" w:hAnsi="Times New Roman" w:eastAsia="宋体"/>
          <w:spacing w:val="1"/>
          <w:sz w:val="24"/>
          <w:szCs w:val="24"/>
          <w:highlight w:val="none"/>
          <w:u w:val="single"/>
          <w:lang w:eastAsia="zh-CN"/>
        </w:rPr>
        <w:t>委托人应在合同签订后14天内，将委托人代表的姓名、职务、联系方式、授权范围和授权期限书面通知服务人。</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699" w:name="_Toc14664"/>
      <w:bookmarkStart w:id="700" w:name="_Toc21301"/>
      <w:bookmarkStart w:id="701" w:name="_Toc508200428"/>
      <w:bookmarkStart w:id="702" w:name="_Toc506006148"/>
      <w:bookmarkStart w:id="703" w:name="_Toc508201366"/>
      <w:r>
        <w:rPr>
          <w:rFonts w:ascii="Times New Roman" w:hAnsi="Times New Roman" w:eastAsia="黑体"/>
          <w:sz w:val="28"/>
          <w:szCs w:val="21"/>
          <w:highlight w:val="none"/>
          <w:lang w:eastAsia="zh-CN"/>
        </w:rPr>
        <w:t>3.2 委托人的指示</w:t>
      </w:r>
      <w:bookmarkEnd w:id="699"/>
      <w:bookmarkEnd w:id="700"/>
      <w:bookmarkEnd w:id="701"/>
      <w:bookmarkEnd w:id="702"/>
      <w:bookmarkEnd w:id="703"/>
    </w:p>
    <w:p>
      <w:pPr>
        <w:pStyle w:val="114"/>
        <w:spacing w:before="60" w:after="6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3.2.4</w:t>
      </w:r>
      <w:r>
        <w:rPr>
          <w:rFonts w:hint="eastAsia" w:ascii="Times New Roman" w:hAnsi="Times New Roman" w:eastAsia="宋体"/>
          <w:bCs/>
          <w:sz w:val="24"/>
          <w:szCs w:val="24"/>
          <w:highlight w:val="none"/>
          <w:lang w:eastAsia="zh-CN"/>
        </w:rPr>
        <w:t>服务人</w:t>
      </w:r>
      <w:r>
        <w:rPr>
          <w:rFonts w:ascii="Times New Roman" w:hAnsi="Times New Roman" w:eastAsia="宋体"/>
          <w:sz w:val="24"/>
          <w:szCs w:val="24"/>
          <w:highlight w:val="none"/>
          <w:lang w:eastAsia="zh-CN"/>
        </w:rPr>
        <w:t>除从委托人代表或按第</w:t>
      </w:r>
      <w:r>
        <w:rPr>
          <w:rFonts w:ascii="Times New Roman" w:hAnsi="Times New Roman"/>
          <w:sz w:val="24"/>
          <w:szCs w:val="24"/>
          <w:highlight w:val="none"/>
          <w:lang w:eastAsia="zh-CN"/>
        </w:rPr>
        <w:t>3.1.4</w:t>
      </w:r>
      <w:r>
        <w:rPr>
          <w:rFonts w:ascii="Times New Roman" w:hAnsi="Times New Roman" w:eastAsia="宋体"/>
          <w:sz w:val="24"/>
          <w:szCs w:val="24"/>
          <w:highlight w:val="none"/>
          <w:lang w:eastAsia="zh-CN"/>
        </w:rPr>
        <w:t>项约定的被授权人员处取得指示外，还可从</w:t>
      </w:r>
      <w:r>
        <w:rPr>
          <w:rFonts w:ascii="Times New Roman" w:hAnsi="Times New Roman" w:eastAsia="宋体"/>
          <w:spacing w:val="1"/>
          <w:sz w:val="24"/>
          <w:szCs w:val="24"/>
          <w:highlight w:val="none"/>
          <w:u w:val="single"/>
          <w:lang w:eastAsia="zh-CN"/>
        </w:rPr>
        <w:t>_</w:t>
      </w:r>
      <w:r>
        <w:rPr>
          <w:rFonts w:hint="eastAsia" w:ascii="Times New Roman" w:hAnsi="Times New Roman" w:eastAsia="宋体"/>
          <w:spacing w:val="1"/>
          <w:sz w:val="24"/>
          <w:szCs w:val="24"/>
          <w:highlight w:val="none"/>
          <w:u w:val="single"/>
          <w:lang w:eastAsia="zh-CN"/>
        </w:rPr>
        <w:t>/</w:t>
      </w:r>
      <w:r>
        <w:rPr>
          <w:rFonts w:ascii="Times New Roman" w:hAnsi="Times New Roman" w:eastAsia="宋体"/>
          <w:spacing w:val="1"/>
          <w:sz w:val="24"/>
          <w:szCs w:val="24"/>
          <w:highlight w:val="none"/>
          <w:u w:val="single"/>
          <w:lang w:eastAsia="zh-CN"/>
        </w:rPr>
        <w:t>_</w:t>
      </w:r>
      <w:r>
        <w:rPr>
          <w:rFonts w:ascii="Times New Roman" w:hAnsi="Times New Roman" w:eastAsia="宋体"/>
          <w:sz w:val="24"/>
          <w:szCs w:val="24"/>
          <w:highlight w:val="none"/>
          <w:lang w:eastAsia="zh-CN"/>
        </w:rPr>
        <w:t>处取得指示。</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04" w:name="_Toc508201367"/>
      <w:bookmarkStart w:id="705" w:name="_Toc508200429"/>
      <w:bookmarkStart w:id="706" w:name="_Toc506006149"/>
      <w:bookmarkStart w:id="707" w:name="_Toc9645"/>
      <w:bookmarkStart w:id="708" w:name="_Toc17455"/>
      <w:r>
        <w:rPr>
          <w:rFonts w:ascii="Times New Roman" w:hAnsi="Times New Roman" w:eastAsia="黑体"/>
          <w:sz w:val="28"/>
          <w:szCs w:val="21"/>
          <w:highlight w:val="none"/>
          <w:lang w:eastAsia="zh-CN"/>
        </w:rPr>
        <w:t>3.3 决定或答复</w:t>
      </w:r>
      <w:bookmarkEnd w:id="704"/>
      <w:bookmarkEnd w:id="705"/>
      <w:bookmarkEnd w:id="706"/>
      <w:bookmarkEnd w:id="707"/>
      <w:bookmarkEnd w:id="708"/>
    </w:p>
    <w:p>
      <w:pPr>
        <w:pStyle w:val="115"/>
        <w:spacing w:line="440" w:lineRule="atLeast"/>
        <w:ind w:firstLine="480" w:firstLineChars="200"/>
        <w:rPr>
          <w:rFonts w:ascii="Times New Roman" w:hAnsi="Times New Roman" w:eastAsia="宋体"/>
          <w:spacing w:val="1"/>
          <w:sz w:val="24"/>
          <w:szCs w:val="24"/>
          <w:highlight w:val="none"/>
          <w:u w:val="single"/>
          <w:lang w:eastAsia="zh-CN"/>
        </w:rPr>
      </w:pPr>
      <w:r>
        <w:rPr>
          <w:rFonts w:ascii="Times New Roman" w:hAnsi="Times New Roman"/>
          <w:b/>
          <w:sz w:val="24"/>
          <w:szCs w:val="24"/>
          <w:highlight w:val="none"/>
          <w:lang w:eastAsia="zh-CN"/>
        </w:rPr>
        <w:t>3.3.2</w:t>
      </w:r>
      <w:r>
        <w:rPr>
          <w:rFonts w:ascii="Times New Roman" w:hAnsi="Times New Roman" w:eastAsia="宋体"/>
          <w:sz w:val="24"/>
          <w:szCs w:val="24"/>
          <w:highlight w:val="none"/>
          <w:lang w:eastAsia="zh-CN"/>
        </w:rPr>
        <w:t>委托人对</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书面提出的事项作出书面答复的时间：</w:t>
      </w:r>
      <w:r>
        <w:rPr>
          <w:rFonts w:hint="eastAsia" w:ascii="Times New Roman" w:hAnsi="Times New Roman" w:eastAsia="宋体"/>
          <w:spacing w:val="1"/>
          <w:sz w:val="24"/>
          <w:szCs w:val="24"/>
          <w:highlight w:val="none"/>
          <w:u w:val="single"/>
          <w:lang w:eastAsia="zh-CN"/>
        </w:rPr>
        <w:t>委托人应在1</w:t>
      </w:r>
      <w:r>
        <w:rPr>
          <w:rFonts w:ascii="Times New Roman" w:hAnsi="Times New Roman" w:eastAsia="宋体"/>
          <w:spacing w:val="1"/>
          <w:sz w:val="24"/>
          <w:szCs w:val="24"/>
          <w:highlight w:val="none"/>
          <w:u w:val="single"/>
          <w:lang w:eastAsia="zh-CN"/>
        </w:rPr>
        <w:t>4</w:t>
      </w:r>
      <w:r>
        <w:rPr>
          <w:rFonts w:hint="eastAsia" w:ascii="Times New Roman" w:hAnsi="Times New Roman" w:eastAsia="宋体"/>
          <w:spacing w:val="1"/>
          <w:sz w:val="24"/>
          <w:szCs w:val="24"/>
          <w:highlight w:val="none"/>
          <w:u w:val="single"/>
          <w:lang w:eastAsia="zh-CN"/>
        </w:rPr>
        <w:t>天之内，对服务人书面提出的事项作出书面答复；逾期没有做出答复的，服务人予以谅解，不视为已获得委托人的批准。</w:t>
      </w:r>
    </w:p>
    <w:p>
      <w:pPr>
        <w:pStyle w:val="107"/>
        <w:spacing w:before="260" w:after="260" w:line="440" w:lineRule="atLeast"/>
        <w:rPr>
          <w:rFonts w:ascii="Times New Roman" w:hAnsi="Times New Roman" w:eastAsia="黑体"/>
          <w:b/>
          <w:spacing w:val="1"/>
          <w:sz w:val="32"/>
          <w:szCs w:val="32"/>
          <w:highlight w:val="none"/>
          <w:lang w:eastAsia="zh-CN"/>
        </w:rPr>
      </w:pPr>
      <w:bookmarkStart w:id="709" w:name="_Toc506008019"/>
      <w:bookmarkStart w:id="710" w:name="_Toc508200430"/>
      <w:bookmarkStart w:id="711" w:name="_Toc513817619"/>
      <w:bookmarkStart w:id="712" w:name="_Toc508201368"/>
      <w:bookmarkStart w:id="713" w:name="_Toc24657"/>
      <w:bookmarkStart w:id="714" w:name="_Toc4004"/>
      <w:bookmarkStart w:id="715" w:name="_Toc506006150"/>
      <w:r>
        <w:rPr>
          <w:rFonts w:ascii="Times New Roman" w:hAnsi="Times New Roman" w:eastAsia="黑体"/>
          <w:b/>
          <w:spacing w:val="1"/>
          <w:sz w:val="32"/>
          <w:szCs w:val="32"/>
          <w:highlight w:val="none"/>
          <w:lang w:eastAsia="zh-CN"/>
        </w:rPr>
        <w:t xml:space="preserve">4. </w:t>
      </w:r>
      <w:r>
        <w:rPr>
          <w:rFonts w:hint="eastAsia" w:ascii="Times New Roman" w:hAnsi="Times New Roman" w:eastAsia="黑体"/>
          <w:b/>
          <w:spacing w:val="1"/>
          <w:sz w:val="32"/>
          <w:szCs w:val="32"/>
          <w:highlight w:val="none"/>
          <w:lang w:eastAsia="zh-CN"/>
        </w:rPr>
        <w:t>服务人</w:t>
      </w:r>
      <w:r>
        <w:rPr>
          <w:rFonts w:ascii="Times New Roman" w:hAnsi="Times New Roman" w:eastAsia="黑体"/>
          <w:b/>
          <w:spacing w:val="1"/>
          <w:sz w:val="32"/>
          <w:szCs w:val="32"/>
          <w:highlight w:val="none"/>
          <w:lang w:eastAsia="zh-CN"/>
        </w:rPr>
        <w:t>义务</w:t>
      </w:r>
      <w:bookmarkEnd w:id="709"/>
      <w:bookmarkEnd w:id="710"/>
      <w:bookmarkEnd w:id="711"/>
      <w:bookmarkEnd w:id="712"/>
      <w:bookmarkEnd w:id="713"/>
      <w:bookmarkEnd w:id="714"/>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16" w:name="_Toc5567"/>
      <w:bookmarkStart w:id="717" w:name="_Toc508200431"/>
      <w:bookmarkStart w:id="718" w:name="_Toc508201369"/>
      <w:bookmarkStart w:id="719" w:name="_Toc3047"/>
      <w:r>
        <w:rPr>
          <w:rFonts w:ascii="Times New Roman" w:hAnsi="Times New Roman" w:eastAsia="黑体"/>
          <w:sz w:val="28"/>
          <w:szCs w:val="21"/>
          <w:highlight w:val="none"/>
          <w:lang w:eastAsia="zh-CN"/>
        </w:rPr>
        <w:t>4.2 履约保证金</w:t>
      </w:r>
      <w:bookmarkEnd w:id="715"/>
      <w:bookmarkEnd w:id="716"/>
      <w:bookmarkEnd w:id="717"/>
      <w:bookmarkEnd w:id="718"/>
      <w:bookmarkEnd w:id="719"/>
    </w:p>
    <w:p>
      <w:pPr>
        <w:pStyle w:val="115"/>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履约保证金提交方式：</w:t>
      </w:r>
      <w:r>
        <w:rPr>
          <w:rFonts w:hint="eastAsia" w:ascii="Times New Roman" w:hAnsi="Times New Roman" w:eastAsia="宋体"/>
          <w:spacing w:val="1"/>
          <w:sz w:val="24"/>
          <w:szCs w:val="24"/>
          <w:highlight w:val="none"/>
          <w:u w:val="single"/>
          <w:lang w:eastAsia="zh-CN"/>
        </w:rPr>
        <w:t>现金或保函（采用银行保函时，出具保函的银行级别：国有或股份制商业银行）</w:t>
      </w:r>
      <w:r>
        <w:rPr>
          <w:rFonts w:hint="eastAsia" w:ascii="Times New Roman" w:hAnsi="Times New Roman" w:eastAsia="宋体"/>
          <w:sz w:val="24"/>
          <w:szCs w:val="24"/>
          <w:highlight w:val="none"/>
          <w:lang w:eastAsia="zh-CN"/>
        </w:rPr>
        <w:t>，金额：</w:t>
      </w:r>
      <w:r>
        <w:rPr>
          <w:rFonts w:hint="eastAsia" w:ascii="Times New Roman" w:hAnsi="Times New Roman" w:eastAsia="宋体"/>
          <w:spacing w:val="1"/>
          <w:sz w:val="24"/>
          <w:szCs w:val="24"/>
          <w:highlight w:val="none"/>
          <w:u w:val="single"/>
          <w:lang w:eastAsia="zh-CN"/>
        </w:rPr>
        <w:t>1</w:t>
      </w:r>
      <w:r>
        <w:rPr>
          <w:rFonts w:ascii="Times New Roman" w:hAnsi="Times New Roman" w:eastAsia="宋体"/>
          <w:spacing w:val="1"/>
          <w:sz w:val="24"/>
          <w:szCs w:val="24"/>
          <w:highlight w:val="none"/>
          <w:u w:val="single"/>
          <w:lang w:eastAsia="zh-CN"/>
        </w:rPr>
        <w:t>0</w:t>
      </w:r>
      <w:r>
        <w:rPr>
          <w:rFonts w:hint="eastAsia" w:ascii="Times New Roman" w:hAnsi="Times New Roman" w:eastAsia="宋体"/>
          <w:spacing w:val="1"/>
          <w:sz w:val="24"/>
          <w:szCs w:val="24"/>
          <w:highlight w:val="none"/>
          <w:u w:val="single"/>
          <w:lang w:eastAsia="zh-CN"/>
        </w:rPr>
        <w:t>%签约合同价</w:t>
      </w:r>
      <w:r>
        <w:rPr>
          <w:rFonts w:hint="eastAsia" w:ascii="Times New Roman" w:hAnsi="Times New Roman" w:eastAsia="宋体"/>
          <w:sz w:val="24"/>
          <w:szCs w:val="24"/>
          <w:highlight w:val="none"/>
          <w:lang w:eastAsia="zh-CN"/>
        </w:rPr>
        <w:t>，期限</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u w:val="single"/>
          <w:lang w:eastAsia="zh-CN"/>
        </w:rPr>
        <w:t>自合同签订之日起</w:t>
      </w:r>
      <w:r>
        <w:rPr>
          <w:rFonts w:hint="eastAsia" w:ascii="Times New Roman" w:hAnsi="Times New Roman" w:eastAsia="宋体"/>
          <w:spacing w:val="1"/>
          <w:sz w:val="24"/>
          <w:szCs w:val="24"/>
          <w:highlight w:val="none"/>
          <w:u w:val="single"/>
          <w:lang w:eastAsia="zh-CN"/>
        </w:rPr>
        <w:t>至合同服务期止</w:t>
      </w:r>
      <w:r>
        <w:rPr>
          <w:rFonts w:hint="eastAsia" w:ascii="Times New Roman" w:hAnsi="Times New Roman" w:eastAsia="宋体"/>
          <w:sz w:val="24"/>
          <w:szCs w:val="24"/>
          <w:highlight w:val="none"/>
          <w:lang w:eastAsia="zh-CN"/>
        </w:rPr>
        <w:t>。</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20" w:name="_Toc800"/>
      <w:bookmarkStart w:id="721" w:name="_Toc24994"/>
      <w:bookmarkStart w:id="722" w:name="_Toc506006151"/>
      <w:bookmarkStart w:id="723" w:name="_Toc508200432"/>
      <w:bookmarkStart w:id="724" w:name="_Toc508201370"/>
      <w:r>
        <w:rPr>
          <w:rFonts w:ascii="Times New Roman" w:hAnsi="Times New Roman" w:eastAsia="黑体"/>
          <w:sz w:val="28"/>
          <w:szCs w:val="21"/>
          <w:highlight w:val="none"/>
          <w:lang w:eastAsia="zh-CN"/>
        </w:rPr>
        <w:t>4.3 分包和不得转包</w:t>
      </w:r>
      <w:bookmarkEnd w:id="720"/>
      <w:bookmarkEnd w:id="721"/>
      <w:bookmarkEnd w:id="722"/>
      <w:bookmarkEnd w:id="723"/>
      <w:bookmarkEnd w:id="724"/>
    </w:p>
    <w:p>
      <w:pPr>
        <w:pStyle w:val="115"/>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4.3.2</w:t>
      </w:r>
      <w:r>
        <w:rPr>
          <w:rFonts w:ascii="Times New Roman" w:hAnsi="Times New Roman" w:eastAsia="宋体"/>
          <w:sz w:val="24"/>
          <w:szCs w:val="24"/>
          <w:highlight w:val="none"/>
          <w:lang w:eastAsia="zh-CN"/>
        </w:rPr>
        <w:t>关于分包的约定：</w:t>
      </w:r>
      <w:r>
        <w:rPr>
          <w:rFonts w:hint="eastAsia" w:ascii="Times New Roman" w:hAnsi="Times New Roman" w:eastAsia="宋体"/>
          <w:spacing w:val="1"/>
          <w:sz w:val="24"/>
          <w:szCs w:val="24"/>
          <w:highlight w:val="none"/>
          <w:u w:val="single"/>
          <w:lang w:eastAsia="zh-CN"/>
        </w:rPr>
        <w:t>本项目不允许分包。</w:t>
      </w:r>
    </w:p>
    <w:p>
      <w:pPr>
        <w:pStyle w:val="116"/>
        <w:spacing w:before="0" w:after="0" w:line="440" w:lineRule="atLeast"/>
        <w:ind w:firstLine="480" w:firstLineChars="200"/>
        <w:rPr>
          <w:rFonts w:ascii="Times New Roman" w:hAnsi="Times New Roman" w:eastAsia="宋体"/>
          <w:spacing w:val="1"/>
          <w:sz w:val="24"/>
          <w:szCs w:val="24"/>
          <w:highlight w:val="none"/>
          <w:lang w:eastAsia="zh-CN"/>
        </w:rPr>
      </w:pPr>
      <w:r>
        <w:rPr>
          <w:rFonts w:ascii="Times New Roman" w:hAnsi="Times New Roman"/>
          <w:b/>
          <w:sz w:val="24"/>
          <w:szCs w:val="24"/>
          <w:highlight w:val="none"/>
          <w:lang w:eastAsia="zh-CN"/>
        </w:rPr>
        <w:t>4.3.3</w:t>
      </w:r>
      <w:r>
        <w:rPr>
          <w:rFonts w:ascii="Times New Roman" w:hAnsi="Times New Roman" w:eastAsia="宋体"/>
          <w:spacing w:val="1"/>
          <w:sz w:val="24"/>
          <w:szCs w:val="24"/>
          <w:highlight w:val="none"/>
          <w:lang w:eastAsia="zh-CN"/>
        </w:rPr>
        <w:t>分包人的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费用的承担：</w:t>
      </w:r>
      <w:r>
        <w:rPr>
          <w:rFonts w:hint="eastAsia" w:ascii="Times New Roman" w:hAnsi="Times New Roman" w:eastAsia="宋体"/>
          <w:spacing w:val="1"/>
          <w:sz w:val="24"/>
          <w:szCs w:val="24"/>
          <w:highlight w:val="none"/>
          <w:u w:val="single"/>
          <w:lang w:eastAsia="zh-CN"/>
        </w:rPr>
        <w:t>/</w:t>
      </w:r>
    </w:p>
    <w:p>
      <w:pPr>
        <w:pStyle w:val="116"/>
        <w:spacing w:before="0" w:after="0" w:line="440" w:lineRule="atLeast"/>
        <w:ind w:firstLine="480" w:firstLineChars="200"/>
        <w:rPr>
          <w:rFonts w:ascii="Times New Roman" w:eastAsia="宋体"/>
          <w:spacing w:val="1"/>
          <w:sz w:val="24"/>
          <w:szCs w:val="24"/>
          <w:highlight w:val="none"/>
          <w:lang w:eastAsia="zh-CN"/>
        </w:rPr>
      </w:pPr>
      <w:r>
        <w:rPr>
          <w:rFonts w:ascii="Times New Roman" w:hAnsi="Times New Roman"/>
          <w:b/>
          <w:sz w:val="24"/>
          <w:szCs w:val="24"/>
          <w:highlight w:val="none"/>
          <w:lang w:eastAsia="zh-CN"/>
        </w:rPr>
        <w:t xml:space="preserve">4.3.4 </w:t>
      </w:r>
      <w:r>
        <w:rPr>
          <w:rFonts w:hint="eastAsia" w:ascii="Times New Roman" w:hAnsi="Times New Roman" w:eastAsia="宋体"/>
          <w:spacing w:val="1"/>
          <w:sz w:val="24"/>
          <w:szCs w:val="24"/>
          <w:highlight w:val="none"/>
          <w:lang w:eastAsia="zh-CN"/>
        </w:rPr>
        <w:t>分包人资质：</w:t>
      </w:r>
      <w:r>
        <w:rPr>
          <w:rFonts w:hint="eastAsia" w:ascii="Times New Roman" w:hAnsi="Times New Roman" w:eastAsia="宋体"/>
          <w:spacing w:val="1"/>
          <w:sz w:val="24"/>
          <w:szCs w:val="24"/>
          <w:highlight w:val="none"/>
          <w:u w:val="single"/>
          <w:lang w:eastAsia="zh-CN"/>
        </w:rPr>
        <w:t>/</w:t>
      </w:r>
      <w:r>
        <w:rPr>
          <w:rFonts w:hint="eastAsia" w:ascii="Times New Roman" w:hAnsi="Times New Roman" w:eastAsia="宋体"/>
          <w:spacing w:val="1"/>
          <w:sz w:val="24"/>
          <w:szCs w:val="24"/>
          <w:highlight w:val="none"/>
          <w:lang w:eastAsia="zh-CN"/>
        </w:rPr>
        <w:t>，分包人主要人员要求：</w:t>
      </w:r>
      <w:r>
        <w:rPr>
          <w:rFonts w:hint="eastAsia" w:ascii="Times New Roman" w:hAnsi="Times New Roman" w:eastAsia="宋体"/>
          <w:spacing w:val="1"/>
          <w:sz w:val="24"/>
          <w:szCs w:val="24"/>
          <w:highlight w:val="none"/>
          <w:u w:val="single"/>
          <w:lang w:eastAsia="zh-CN"/>
        </w:rPr>
        <w:t>/</w:t>
      </w:r>
      <w:r>
        <w:rPr>
          <w:rFonts w:ascii="Times New Roman" w:hAnsi="Times New Roman" w:eastAsia="宋体"/>
          <w:spacing w:val="1"/>
          <w:sz w:val="24"/>
          <w:szCs w:val="24"/>
          <w:highlight w:val="none"/>
          <w:lang w:eastAsia="zh-CN"/>
        </w:rPr>
        <w:t>，</w:t>
      </w:r>
      <w:r>
        <w:rPr>
          <w:rFonts w:hint="eastAsia" w:ascii="Times New Roman" w:hAnsi="Times New Roman" w:eastAsia="宋体"/>
          <w:spacing w:val="1"/>
          <w:sz w:val="24"/>
          <w:szCs w:val="24"/>
          <w:highlight w:val="none"/>
          <w:lang w:eastAsia="zh-CN"/>
        </w:rPr>
        <w:t>设备要求：</w:t>
      </w:r>
      <w:r>
        <w:rPr>
          <w:rFonts w:hint="eastAsia" w:ascii="Times New Roman" w:hAnsi="Times New Roman" w:eastAsia="宋体"/>
          <w:spacing w:val="1"/>
          <w:sz w:val="24"/>
          <w:szCs w:val="24"/>
          <w:highlight w:val="none"/>
          <w:u w:val="single"/>
          <w:lang w:eastAsia="zh-CN"/>
        </w:rPr>
        <w:t>/</w:t>
      </w:r>
      <w:r>
        <w:rPr>
          <w:rFonts w:hint="eastAsia" w:ascii="Times New Roman" w:hAnsi="Times New Roman" w:eastAsia="宋体"/>
          <w:spacing w:val="1"/>
          <w:sz w:val="24"/>
          <w:szCs w:val="24"/>
          <w:highlight w:val="none"/>
          <w:lang w:eastAsia="zh-CN"/>
        </w:rPr>
        <w:t>，类似业绩：</w:t>
      </w:r>
      <w:r>
        <w:rPr>
          <w:rFonts w:hint="eastAsia" w:ascii="Times New Roman" w:hAnsi="Times New Roman" w:eastAsia="宋体"/>
          <w:spacing w:val="1"/>
          <w:sz w:val="24"/>
          <w:szCs w:val="24"/>
          <w:highlight w:val="none"/>
          <w:u w:val="single"/>
          <w:lang w:eastAsia="zh-CN"/>
        </w:rPr>
        <w:t>/</w:t>
      </w:r>
      <w:r>
        <w:rPr>
          <w:rFonts w:hint="eastAsia" w:ascii="Times New Roman" w:hAnsi="Times New Roman" w:eastAsia="宋体"/>
          <w:spacing w:val="1"/>
          <w:sz w:val="24"/>
          <w:szCs w:val="24"/>
          <w:highlight w:val="none"/>
          <w:lang w:eastAsia="zh-CN"/>
        </w:rPr>
        <w:t>。</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25" w:name="_Toc508201371"/>
      <w:bookmarkStart w:id="726" w:name="_Toc3496"/>
      <w:bookmarkStart w:id="727" w:name="_Toc506006152"/>
      <w:bookmarkStart w:id="728" w:name="_Toc508200433"/>
      <w:bookmarkStart w:id="729" w:name="_Toc6356"/>
      <w:r>
        <w:rPr>
          <w:rFonts w:ascii="Times New Roman" w:hAnsi="Times New Roman" w:eastAsia="黑体"/>
          <w:sz w:val="28"/>
          <w:szCs w:val="21"/>
          <w:highlight w:val="none"/>
          <w:lang w:eastAsia="zh-CN"/>
        </w:rPr>
        <w:t>4.5 项目负责人</w:t>
      </w:r>
      <w:bookmarkEnd w:id="725"/>
      <w:bookmarkEnd w:id="726"/>
      <w:bookmarkEnd w:id="727"/>
      <w:bookmarkEnd w:id="728"/>
      <w:bookmarkEnd w:id="729"/>
    </w:p>
    <w:p>
      <w:pPr>
        <w:pStyle w:val="117"/>
        <w:spacing w:line="440" w:lineRule="atLeast"/>
        <w:ind w:firstLine="480" w:firstLineChars="200"/>
        <w:rPr>
          <w:rFonts w:ascii="Times New Roman" w:hAnsi="Times New Roman" w:eastAsia="宋体"/>
          <w:spacing w:val="1"/>
          <w:sz w:val="24"/>
          <w:szCs w:val="24"/>
          <w:highlight w:val="none"/>
          <w:u w:val="single"/>
          <w:lang w:eastAsia="zh-CN"/>
        </w:rPr>
      </w:pPr>
      <w:r>
        <w:rPr>
          <w:rFonts w:ascii="Times New Roman" w:hAnsi="Times New Roman"/>
          <w:b/>
          <w:sz w:val="24"/>
          <w:szCs w:val="24"/>
          <w:highlight w:val="none"/>
          <w:lang w:eastAsia="zh-CN"/>
        </w:rPr>
        <w:t>4.5.4</w:t>
      </w:r>
      <w:r>
        <w:rPr>
          <w:rFonts w:hint="eastAsia" w:cs="微软雅黑" w:asciiTheme="minorEastAsia" w:hAnsiTheme="minorEastAsia" w:eastAsiaTheme="minorEastAsia"/>
          <w:sz w:val="24"/>
          <w:szCs w:val="24"/>
          <w:highlight w:val="none"/>
          <w:lang w:eastAsia="zh-CN"/>
        </w:rPr>
        <w:t>项目负责人可以授权其下属人员履行的职责：</w:t>
      </w:r>
      <w:r>
        <w:rPr>
          <w:rFonts w:hint="eastAsia" w:ascii="Times New Roman" w:hAnsi="Times New Roman" w:eastAsia="宋体"/>
          <w:spacing w:val="1"/>
          <w:sz w:val="24"/>
          <w:szCs w:val="24"/>
          <w:highlight w:val="none"/>
          <w:u w:val="single"/>
          <w:lang w:eastAsia="zh-CN"/>
        </w:rPr>
        <w:t>项目负责人可以授权其下属人员履行其某项职责，但事先应将这些人员的姓名、职务、联系方式、授权范围和授权期限书面通知委托人。</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30" w:name="_Toc506006153"/>
      <w:bookmarkStart w:id="731" w:name="_Toc26463"/>
      <w:bookmarkStart w:id="732" w:name="_Toc7653"/>
      <w:bookmarkStart w:id="733" w:name="_Toc508201372"/>
      <w:bookmarkStart w:id="734" w:name="_Toc508200434"/>
      <w:r>
        <w:rPr>
          <w:rFonts w:ascii="Times New Roman" w:hAnsi="Times New Roman" w:eastAsia="黑体"/>
          <w:sz w:val="28"/>
          <w:szCs w:val="21"/>
          <w:highlight w:val="none"/>
          <w:lang w:eastAsia="zh-CN"/>
        </w:rPr>
        <w:t xml:space="preserve">4.6 </w:t>
      </w:r>
      <w:r>
        <w:rPr>
          <w:rFonts w:hint="eastAsia" w:ascii="Times New Roman" w:hAnsi="Times New Roman" w:eastAsia="黑体"/>
          <w:sz w:val="28"/>
          <w:szCs w:val="21"/>
          <w:highlight w:val="none"/>
          <w:lang w:eastAsia="zh-CN"/>
        </w:rPr>
        <w:t>服务人</w:t>
      </w:r>
      <w:r>
        <w:rPr>
          <w:rFonts w:ascii="Times New Roman" w:hAnsi="Times New Roman" w:eastAsia="黑体"/>
          <w:sz w:val="28"/>
          <w:szCs w:val="21"/>
          <w:highlight w:val="none"/>
          <w:lang w:eastAsia="zh-CN"/>
        </w:rPr>
        <w:t>员的管理</w:t>
      </w:r>
      <w:bookmarkEnd w:id="730"/>
      <w:bookmarkEnd w:id="731"/>
      <w:bookmarkEnd w:id="732"/>
      <w:bookmarkEnd w:id="733"/>
      <w:bookmarkEnd w:id="734"/>
    </w:p>
    <w:p>
      <w:pPr>
        <w:pStyle w:val="116"/>
        <w:spacing w:line="440" w:lineRule="atLeast"/>
        <w:ind w:firstLine="480" w:firstLineChars="200"/>
        <w:rPr>
          <w:rFonts w:ascii="Times New Roman" w:hAnsi="Times New Roman" w:eastAsia="宋体"/>
          <w:spacing w:val="1"/>
          <w:sz w:val="24"/>
          <w:szCs w:val="24"/>
          <w:highlight w:val="none"/>
          <w:u w:val="single"/>
          <w:lang w:eastAsia="zh-CN"/>
        </w:rPr>
      </w:pPr>
      <w:r>
        <w:rPr>
          <w:rFonts w:ascii="Times New Roman" w:hAnsi="Times New Roman"/>
          <w:b/>
          <w:sz w:val="24"/>
          <w:szCs w:val="24"/>
          <w:highlight w:val="none"/>
          <w:lang w:eastAsia="zh-CN"/>
        </w:rPr>
        <w:t>4.6.2</w:t>
      </w:r>
      <w:r>
        <w:rPr>
          <w:rFonts w:ascii="Times New Roman" w:hAnsi="Times New Roman" w:eastAsia="宋体"/>
          <w:spacing w:val="-2"/>
          <w:sz w:val="24"/>
          <w:szCs w:val="24"/>
          <w:highlight w:val="none"/>
          <w:lang w:eastAsia="zh-CN"/>
        </w:rPr>
        <w:t>主要</w:t>
      </w:r>
      <w:r>
        <w:rPr>
          <w:rFonts w:hint="eastAsia" w:ascii="Times New Roman" w:hAnsi="Times New Roman" w:eastAsia="宋体"/>
          <w:spacing w:val="-2"/>
          <w:sz w:val="24"/>
          <w:szCs w:val="24"/>
          <w:highlight w:val="none"/>
          <w:lang w:eastAsia="zh-CN"/>
        </w:rPr>
        <w:t>服务人</w:t>
      </w:r>
      <w:r>
        <w:rPr>
          <w:rFonts w:ascii="Times New Roman" w:hAnsi="Times New Roman" w:eastAsia="宋体"/>
          <w:spacing w:val="-2"/>
          <w:sz w:val="24"/>
          <w:szCs w:val="24"/>
          <w:highlight w:val="none"/>
          <w:lang w:eastAsia="zh-CN"/>
        </w:rPr>
        <w:t>员包括：</w:t>
      </w:r>
      <w:r>
        <w:rPr>
          <w:rFonts w:hint="eastAsia" w:ascii="Times New Roman" w:hAnsi="Times New Roman" w:eastAsia="宋体"/>
          <w:spacing w:val="-2"/>
          <w:sz w:val="24"/>
          <w:szCs w:val="24"/>
          <w:highlight w:val="none"/>
          <w:u w:val="single"/>
          <w:lang w:eastAsia="zh-CN"/>
        </w:rPr>
        <w:t>包</w:t>
      </w:r>
      <w:r>
        <w:rPr>
          <w:rFonts w:hint="eastAsia" w:ascii="Times New Roman" w:hAnsi="Times New Roman" w:eastAsia="宋体"/>
          <w:spacing w:val="1"/>
          <w:sz w:val="24"/>
          <w:szCs w:val="24"/>
          <w:highlight w:val="none"/>
          <w:u w:val="single"/>
          <w:lang w:eastAsia="zh-CN"/>
        </w:rPr>
        <w:t>括项目负责人、专业负责人、审核人、审定人等；其他人员包括各专业的服务人员、管理人员等。</w:t>
      </w:r>
    </w:p>
    <w:p>
      <w:pPr>
        <w:pStyle w:val="107"/>
        <w:spacing w:before="260" w:after="260" w:line="440" w:lineRule="atLeast"/>
        <w:rPr>
          <w:rFonts w:ascii="Times New Roman" w:hAnsi="Times New Roman" w:eastAsia="黑体"/>
          <w:b/>
          <w:spacing w:val="1"/>
          <w:sz w:val="32"/>
          <w:szCs w:val="32"/>
          <w:highlight w:val="none"/>
          <w:lang w:eastAsia="zh-CN"/>
        </w:rPr>
      </w:pPr>
      <w:bookmarkStart w:id="735" w:name="_Toc508200435"/>
      <w:bookmarkStart w:id="736" w:name="_Toc508201373"/>
      <w:bookmarkStart w:id="737" w:name="_Toc7284"/>
      <w:bookmarkStart w:id="738" w:name="_Toc4410"/>
      <w:bookmarkStart w:id="739" w:name="_Toc513817620"/>
      <w:bookmarkStart w:id="740" w:name="_Toc506006154"/>
      <w:r>
        <w:rPr>
          <w:rFonts w:ascii="Times New Roman" w:hAnsi="Times New Roman" w:eastAsia="黑体"/>
          <w:b/>
          <w:spacing w:val="1"/>
          <w:sz w:val="32"/>
          <w:szCs w:val="32"/>
          <w:highlight w:val="none"/>
          <w:lang w:eastAsia="zh-CN"/>
        </w:rPr>
        <w:t xml:space="preserve">5. </w:t>
      </w:r>
      <w:r>
        <w:rPr>
          <w:rFonts w:hint="eastAsia" w:ascii="Times New Roman" w:hAnsi="Times New Roman" w:eastAsia="黑体"/>
          <w:b/>
          <w:spacing w:val="1"/>
          <w:sz w:val="32"/>
          <w:szCs w:val="32"/>
          <w:highlight w:val="none"/>
          <w:lang w:eastAsia="zh-CN"/>
        </w:rPr>
        <w:t>服务</w:t>
      </w:r>
      <w:r>
        <w:rPr>
          <w:rFonts w:ascii="Times New Roman" w:hAnsi="Times New Roman" w:eastAsia="黑体"/>
          <w:b/>
          <w:spacing w:val="1"/>
          <w:sz w:val="32"/>
          <w:szCs w:val="32"/>
          <w:highlight w:val="none"/>
          <w:lang w:eastAsia="zh-CN"/>
        </w:rPr>
        <w:t>要求</w:t>
      </w:r>
      <w:bookmarkEnd w:id="735"/>
      <w:bookmarkEnd w:id="736"/>
      <w:bookmarkEnd w:id="737"/>
      <w:bookmarkEnd w:id="738"/>
      <w:bookmarkEnd w:id="739"/>
      <w:bookmarkEnd w:id="740"/>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41" w:name="_Toc508200436"/>
      <w:bookmarkStart w:id="742" w:name="_Toc506006155"/>
      <w:bookmarkStart w:id="743" w:name="_Toc3678"/>
      <w:bookmarkStart w:id="744" w:name="_Toc17892"/>
      <w:bookmarkStart w:id="745" w:name="_Toc508201374"/>
      <w:r>
        <w:rPr>
          <w:rFonts w:ascii="Times New Roman" w:hAnsi="Times New Roman" w:eastAsia="黑体"/>
          <w:sz w:val="28"/>
          <w:szCs w:val="21"/>
          <w:highlight w:val="none"/>
          <w:lang w:eastAsia="zh-CN"/>
        </w:rPr>
        <w:t>5.1 一般要求</w:t>
      </w:r>
      <w:bookmarkEnd w:id="741"/>
      <w:bookmarkEnd w:id="742"/>
      <w:bookmarkEnd w:id="743"/>
      <w:bookmarkEnd w:id="744"/>
      <w:bookmarkEnd w:id="745"/>
    </w:p>
    <w:p>
      <w:pPr>
        <w:pStyle w:val="118"/>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5.1.3</w:t>
      </w:r>
      <w:r>
        <w:rPr>
          <w:rFonts w:hint="eastAsia" w:ascii="Times New Roman" w:hAnsi="Times New Roman" w:eastAsia="宋体"/>
          <w:bCs/>
          <w:sz w:val="24"/>
          <w:szCs w:val="24"/>
          <w:highlight w:val="none"/>
          <w:lang w:eastAsia="zh-CN"/>
        </w:rPr>
        <w:t>服务人</w:t>
      </w:r>
      <w:r>
        <w:rPr>
          <w:rFonts w:ascii="Times New Roman" w:hAnsi="Times New Roman" w:eastAsia="宋体"/>
          <w:sz w:val="24"/>
          <w:szCs w:val="24"/>
          <w:highlight w:val="none"/>
          <w:lang w:eastAsia="zh-CN"/>
        </w:rPr>
        <w:t>完成</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工作所应遵守的其他规定：</w:t>
      </w:r>
      <w:r>
        <w:rPr>
          <w:rFonts w:hint="eastAsia" w:ascii="Times New Roman" w:hAnsi="Times New Roman" w:eastAsia="宋体"/>
          <w:spacing w:val="1"/>
          <w:sz w:val="24"/>
          <w:szCs w:val="24"/>
          <w:highlight w:val="none"/>
          <w:u w:val="single"/>
          <w:lang w:eastAsia="zh-CN"/>
        </w:rPr>
        <w:t>/</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46" w:name="_Toc31018"/>
      <w:bookmarkStart w:id="747" w:name="_Toc15754"/>
      <w:bookmarkStart w:id="748" w:name="_Toc506006156"/>
      <w:bookmarkStart w:id="749" w:name="_Toc508200437"/>
      <w:bookmarkStart w:id="750" w:name="_Toc508201375"/>
      <w:r>
        <w:rPr>
          <w:rFonts w:ascii="Times New Roman" w:hAnsi="Times New Roman" w:eastAsia="黑体"/>
          <w:sz w:val="28"/>
          <w:szCs w:val="21"/>
          <w:highlight w:val="none"/>
          <w:lang w:eastAsia="zh-CN"/>
        </w:rPr>
        <w:t xml:space="preserve">5.2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依据</w:t>
      </w:r>
      <w:bookmarkEnd w:id="746"/>
      <w:bookmarkEnd w:id="747"/>
      <w:bookmarkEnd w:id="748"/>
      <w:bookmarkEnd w:id="749"/>
      <w:bookmarkEnd w:id="750"/>
    </w:p>
    <w:p>
      <w:pPr>
        <w:pStyle w:val="118"/>
        <w:spacing w:before="0" w:after="0" w:line="440" w:lineRule="exact"/>
        <w:ind w:firstLine="480" w:firstLineChars="200"/>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本工程的</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 xml:space="preserve">依据包括： </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（1）适用的法律、行政法规及部门规章；</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（2）相关的规范、标准、规程；</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（3）基础资料及其他文件；</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（4）监测服务合同及补充合同；</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（5）本工程前期成果文件（含工程设计和图纸）；</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（6）合同履行中与服务有关的来往函件；</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（7）经批复的水土保持方案/环境影响报告书；</w:t>
      </w:r>
    </w:p>
    <w:p>
      <w:pPr>
        <w:pStyle w:val="118"/>
        <w:spacing w:before="0" w:after="0" w:line="440" w:lineRule="exact"/>
        <w:ind w:firstLine="484" w:firstLineChars="200"/>
        <w:rPr>
          <w:rFonts w:ascii="Times New Roman" w:hAnsi="Times New Roman"/>
          <w:sz w:val="24"/>
          <w:szCs w:val="24"/>
          <w:highlight w:val="none"/>
          <w:lang w:eastAsia="zh-CN"/>
        </w:rPr>
      </w:pPr>
      <w:r>
        <w:rPr>
          <w:rFonts w:hint="eastAsia" w:ascii="Times New Roman" w:hAnsi="Times New Roman" w:eastAsia="宋体"/>
          <w:spacing w:val="1"/>
          <w:sz w:val="24"/>
          <w:szCs w:val="24"/>
          <w:highlight w:val="none"/>
          <w:u w:val="single"/>
          <w:lang w:eastAsia="zh-CN"/>
        </w:rPr>
        <w:t>（</w:t>
      </w:r>
      <w:r>
        <w:rPr>
          <w:rFonts w:ascii="Times New Roman" w:hAnsi="Times New Roman" w:eastAsia="宋体"/>
          <w:spacing w:val="1"/>
          <w:sz w:val="24"/>
          <w:szCs w:val="24"/>
          <w:highlight w:val="none"/>
          <w:u w:val="single"/>
          <w:lang w:eastAsia="zh-CN"/>
        </w:rPr>
        <w:t>8</w:t>
      </w:r>
      <w:r>
        <w:rPr>
          <w:rFonts w:hint="eastAsia" w:ascii="Times New Roman" w:hAnsi="Times New Roman" w:eastAsia="宋体"/>
          <w:spacing w:val="1"/>
          <w:sz w:val="24"/>
          <w:szCs w:val="24"/>
          <w:highlight w:val="none"/>
          <w:u w:val="single"/>
          <w:lang w:eastAsia="zh-CN"/>
        </w:rPr>
        <w:t>）其他服务依据。</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51" w:name="_Toc29627"/>
      <w:bookmarkStart w:id="752" w:name="_Toc506006157"/>
      <w:bookmarkStart w:id="753" w:name="_Toc508200438"/>
      <w:bookmarkStart w:id="754" w:name="_Toc508201376"/>
      <w:bookmarkStart w:id="755" w:name="_Toc30780"/>
      <w:r>
        <w:rPr>
          <w:rFonts w:ascii="Times New Roman" w:hAnsi="Times New Roman" w:eastAsia="黑体"/>
          <w:sz w:val="28"/>
          <w:szCs w:val="21"/>
          <w:highlight w:val="none"/>
          <w:lang w:eastAsia="zh-CN"/>
        </w:rPr>
        <w:t xml:space="preserve">5.3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范围</w:t>
      </w:r>
      <w:bookmarkEnd w:id="751"/>
      <w:bookmarkEnd w:id="752"/>
      <w:bookmarkEnd w:id="753"/>
      <w:bookmarkEnd w:id="754"/>
      <w:bookmarkEnd w:id="755"/>
    </w:p>
    <w:p>
      <w:pPr>
        <w:pStyle w:val="118"/>
        <w:spacing w:before="0" w:after="0" w:line="440" w:lineRule="exac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范围：</w:t>
      </w:r>
    </w:p>
    <w:p>
      <w:pPr>
        <w:pStyle w:val="118"/>
        <w:spacing w:before="0" w:after="0" w:line="440" w:lineRule="exact"/>
        <w:ind w:firstLine="484" w:firstLineChars="200"/>
        <w:rPr>
          <w:rFonts w:ascii="Times New Roman" w:hAnsi="Times New Roman" w:eastAsia="宋体"/>
          <w:spacing w:val="1"/>
          <w:sz w:val="24"/>
          <w:szCs w:val="24"/>
          <w:highlight w:val="none"/>
          <w:lang w:eastAsia="zh-CN"/>
        </w:rPr>
      </w:pPr>
      <w:r>
        <w:rPr>
          <w:rFonts w:hint="eastAsia" w:ascii="Times New Roman" w:hAnsi="Times New Roman" w:eastAsia="宋体"/>
          <w:spacing w:val="1"/>
          <w:sz w:val="24"/>
          <w:szCs w:val="24"/>
          <w:highlight w:val="none"/>
          <w:lang w:eastAsia="zh-CN"/>
        </w:rPr>
        <w:t>（1）水土保持监测：</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监测服务范围包括但不限于负责本项目施工准备期、施工期和自然恢复期水土流失情况及水土保持方案的实施情况效果进行监测，同时向建设单位提出控制施工过程中水土流失的意见建议，按照水土保持监测的有关技术规范做好监测记录和数据季报、年报、总结报告的编制，协助建设单位完成向各级水行政主管部门的报备并通过审查；工程完工后，负责编制完成水土保持工作监测总结报告及水土保持验收的其他相关资料，配合完成水土保持最终验收工作。</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监测内容：</w:t>
      </w:r>
      <w:r>
        <w:rPr>
          <w:rFonts w:ascii="Times New Roman" w:hAnsi="Times New Roman" w:eastAsia="宋体"/>
          <w:spacing w:val="1"/>
          <w:sz w:val="24"/>
          <w:szCs w:val="24"/>
          <w:highlight w:val="none"/>
          <w:u w:val="single"/>
          <w:lang w:eastAsia="zh-CN"/>
        </w:rPr>
        <w:t>1</w:t>
      </w:r>
      <w:r>
        <w:rPr>
          <w:rFonts w:hint="eastAsia" w:ascii="Times New Roman" w:hAnsi="Times New Roman" w:eastAsia="宋体"/>
          <w:spacing w:val="1"/>
          <w:sz w:val="24"/>
          <w:szCs w:val="24"/>
          <w:highlight w:val="none"/>
          <w:u w:val="single"/>
          <w:lang w:eastAsia="zh-CN"/>
        </w:rPr>
        <w:t>）水土流失影响因子监测、水土流失状况监测、水土流失危害监测、水土保持措施监测等监测成果，包括但不限于水土保持监测实施方案、水土保持监测季报、水土保持监测年报、水土保持监测总结报告。监测成果满足现行规范标准要求及水土保持设施竣工验收要求，并定期报送水行政主管部门备案。</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 xml:space="preserve">2）协调配合各级水行政主管部门的监督检查。 </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3）</w:t>
      </w:r>
      <w:bookmarkStart w:id="756" w:name="_Hlk135129710"/>
      <w:r>
        <w:rPr>
          <w:rFonts w:hint="eastAsia" w:ascii="Times New Roman" w:hAnsi="Times New Roman" w:eastAsia="宋体"/>
          <w:spacing w:val="1"/>
          <w:sz w:val="24"/>
          <w:szCs w:val="24"/>
          <w:highlight w:val="none"/>
          <w:u w:val="single"/>
          <w:lang w:eastAsia="zh-CN"/>
        </w:rPr>
        <w:t>负责工程水土保持中监测工作的各项信息数据收集、统计与分析，组织编制相关季报、年报等，建立水土保持监测资料档案。</w:t>
      </w:r>
      <w:bookmarkEnd w:id="756"/>
      <w:r>
        <w:rPr>
          <w:rFonts w:hint="eastAsia" w:ascii="Times New Roman" w:hAnsi="Times New Roman" w:eastAsia="宋体"/>
          <w:spacing w:val="1"/>
          <w:sz w:val="24"/>
          <w:szCs w:val="24"/>
          <w:highlight w:val="none"/>
          <w:u w:val="single"/>
          <w:lang w:eastAsia="zh-CN"/>
        </w:rPr>
        <w:t xml:space="preserve"> </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 xml:space="preserve">4）协助各级水行政主管部门进行水土保持监督执法专项检查。 </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 xml:space="preserve">5）协助委托人开展水土保持宣传、培训、监督检查工作。 </w:t>
      </w:r>
    </w:p>
    <w:p>
      <w:pPr>
        <w:pStyle w:val="118"/>
        <w:spacing w:before="0" w:after="0" w:line="440" w:lineRule="exac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6）负责水土保持专项监测的总结工作，协助委托人做好水土保持设施竣工验收工作。</w:t>
      </w:r>
    </w:p>
    <w:p>
      <w:pPr>
        <w:pStyle w:val="118"/>
        <w:spacing w:before="0" w:after="0" w:line="440" w:lineRule="exact"/>
        <w:ind w:firstLine="480" w:firstLineChars="200"/>
        <w:rPr>
          <w:rFonts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（2）环境保护监测：</w:t>
      </w:r>
    </w:p>
    <w:p>
      <w:pPr>
        <w:pStyle w:val="118"/>
        <w:spacing w:before="0" w:after="0" w:line="440" w:lineRule="exact"/>
        <w:ind w:firstLine="480" w:firstLineChars="200"/>
        <w:rPr>
          <w:rFonts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监测服务范围包括但不限于施工期间提供</w:t>
      </w:r>
      <w:bookmarkStart w:id="757" w:name="_Hlk135129841"/>
      <w:r>
        <w:rPr>
          <w:rFonts w:hint="eastAsia" w:ascii="宋体" w:hAnsi="宋体" w:eastAsia="宋体" w:cs="宋体"/>
          <w:sz w:val="24"/>
          <w:szCs w:val="24"/>
          <w:highlight w:val="none"/>
          <w:lang w:eastAsia="zh-CN"/>
        </w:rPr>
        <w:t>环境空气监测、地表水监测、噪声监测</w:t>
      </w:r>
      <w:bookmarkEnd w:id="757"/>
      <w:r>
        <w:rPr>
          <w:rFonts w:hint="eastAsia" w:ascii="宋体" w:hAnsi="宋体" w:eastAsia="宋体" w:cs="宋体"/>
          <w:sz w:val="24"/>
          <w:szCs w:val="24"/>
          <w:highlight w:val="none"/>
          <w:lang w:eastAsia="zh-CN"/>
        </w:rPr>
        <w:t>技术服务及相关检测技术服务。同时向委托人提出控制施工过程中的意见建议，按照环境保护监测的有关技术规范做好监测记录和数据季报、年报、总结报告的编制，协助委托人完成向各级行政主管部门的报备并通过审查；工程完工后，负责编制完成环境保护监测总结报告及验收的其他相关资料，配合完成环境监测最终验收工作。</w:t>
      </w:r>
    </w:p>
    <w:p>
      <w:pPr>
        <w:pStyle w:val="118"/>
        <w:spacing w:before="0" w:after="0" w:line="440" w:lineRule="exact"/>
        <w:ind w:firstLine="480" w:firstLineChars="200"/>
        <w:rPr>
          <w:rFonts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监测内容：1）环境空气监测、地表水监测、噪声监测等监测成果，包括但不限于环境监测实施方案、环境监测季报、环境监测年报、环境监测总结报告。监测成果满足现行规范标准要求及环境监测验收要求，并定期报送相关行政主管部门备案，出具经委托人及相关行政主管部门认可的监测技术报告。</w:t>
      </w:r>
    </w:p>
    <w:p>
      <w:pPr>
        <w:pStyle w:val="118"/>
        <w:spacing w:before="0" w:after="0" w:line="440" w:lineRule="exact"/>
        <w:ind w:firstLine="480" w:firstLineChars="200"/>
        <w:rPr>
          <w:rFonts w:ascii="宋体" w:hAnsi="宋体" w:eastAsia="宋体" w:cs="宋体"/>
          <w:sz w:val="24"/>
          <w:szCs w:val="24"/>
          <w:highlight w:val="none"/>
          <w:lang w:eastAsia="zh-CN"/>
        </w:rPr>
      </w:pPr>
      <w:r>
        <w:rPr>
          <w:rFonts w:ascii="宋体" w:hAnsi="宋体" w:eastAsia="宋体" w:cs="宋体"/>
          <w:sz w:val="24"/>
          <w:szCs w:val="24"/>
          <w:highlight w:val="none"/>
          <w:lang w:eastAsia="zh-CN"/>
        </w:rPr>
        <w:t>2</w:t>
      </w:r>
      <w:r>
        <w:rPr>
          <w:rFonts w:hint="eastAsia" w:ascii="宋体" w:hAnsi="宋体" w:eastAsia="宋体" w:cs="宋体"/>
          <w:sz w:val="24"/>
          <w:szCs w:val="24"/>
          <w:highlight w:val="none"/>
          <w:lang w:eastAsia="zh-CN"/>
        </w:rPr>
        <w:t>）负责工程监测工作的各项信息数据收集、统计与分析，组织编制相关季报、年报等，建立环境监测资料档案。</w:t>
      </w:r>
    </w:p>
    <w:p>
      <w:pPr>
        <w:pStyle w:val="118"/>
        <w:spacing w:before="0" w:after="0" w:line="440" w:lineRule="exact"/>
        <w:ind w:firstLine="480" w:firstLineChars="200"/>
        <w:rPr>
          <w:rFonts w:ascii="宋体" w:hAnsi="宋体" w:eastAsia="宋体" w:cs="宋体"/>
          <w:sz w:val="24"/>
          <w:szCs w:val="24"/>
          <w:highlight w:val="none"/>
          <w:lang w:eastAsia="zh-CN"/>
        </w:rPr>
      </w:pPr>
      <w:r>
        <w:rPr>
          <w:rFonts w:ascii="宋体" w:hAnsi="宋体" w:eastAsia="宋体" w:cs="宋体"/>
          <w:sz w:val="24"/>
          <w:szCs w:val="24"/>
          <w:highlight w:val="none"/>
          <w:lang w:eastAsia="zh-CN"/>
        </w:rPr>
        <w:t>3</w:t>
      </w:r>
      <w:r>
        <w:rPr>
          <w:rFonts w:hint="eastAsia" w:ascii="宋体" w:hAnsi="宋体" w:eastAsia="宋体" w:cs="宋体"/>
          <w:sz w:val="24"/>
          <w:szCs w:val="24"/>
          <w:highlight w:val="none"/>
          <w:lang w:eastAsia="zh-CN"/>
        </w:rPr>
        <w:t>）协助委托人开展环境保护宣传、培训、监督检查工作。</w:t>
      </w:r>
    </w:p>
    <w:p>
      <w:pPr>
        <w:pStyle w:val="118"/>
        <w:spacing w:before="0" w:after="0" w:line="440" w:lineRule="exact"/>
        <w:ind w:firstLine="480" w:firstLineChars="200"/>
        <w:rPr>
          <w:rFonts w:ascii="宋体" w:hAnsi="宋体" w:eastAsia="宋体" w:cs="宋体"/>
          <w:sz w:val="24"/>
          <w:szCs w:val="24"/>
          <w:highlight w:val="none"/>
          <w:lang w:eastAsia="zh-CN"/>
        </w:rPr>
      </w:pPr>
      <w:r>
        <w:rPr>
          <w:rFonts w:ascii="宋体" w:hAnsi="宋体" w:eastAsia="宋体" w:cs="宋体"/>
          <w:sz w:val="24"/>
          <w:szCs w:val="24"/>
          <w:highlight w:val="none"/>
          <w:lang w:eastAsia="zh-CN"/>
        </w:rPr>
        <w:t>4</w:t>
      </w:r>
      <w:r>
        <w:rPr>
          <w:rFonts w:hint="eastAsia" w:ascii="宋体" w:hAnsi="宋体" w:eastAsia="宋体" w:cs="宋体"/>
          <w:sz w:val="24"/>
          <w:szCs w:val="24"/>
          <w:highlight w:val="none"/>
          <w:lang w:eastAsia="zh-CN"/>
        </w:rPr>
        <w:t>）协助各级水行政主管部门进行水土保持监督执法专项检查。</w:t>
      </w:r>
    </w:p>
    <w:p>
      <w:pPr>
        <w:pStyle w:val="118"/>
        <w:spacing w:before="0" w:after="0" w:line="440" w:lineRule="exact"/>
        <w:ind w:firstLine="480" w:firstLineChars="200"/>
        <w:rPr>
          <w:rFonts w:ascii="宋体" w:hAnsi="宋体" w:eastAsia="宋体" w:cs="宋体"/>
          <w:sz w:val="24"/>
          <w:szCs w:val="24"/>
          <w:highlight w:val="none"/>
          <w:lang w:eastAsia="zh-CN"/>
        </w:rPr>
      </w:pPr>
      <w:r>
        <w:rPr>
          <w:rFonts w:ascii="宋体" w:hAnsi="宋体" w:eastAsia="宋体" w:cs="宋体"/>
          <w:sz w:val="24"/>
          <w:szCs w:val="24"/>
          <w:highlight w:val="none"/>
          <w:lang w:eastAsia="zh-CN"/>
        </w:rPr>
        <w:t>5</w:t>
      </w:r>
      <w:r>
        <w:rPr>
          <w:rFonts w:hint="eastAsia" w:ascii="宋体" w:hAnsi="宋体" w:eastAsia="宋体" w:cs="宋体"/>
          <w:sz w:val="24"/>
          <w:szCs w:val="24"/>
          <w:highlight w:val="none"/>
          <w:lang w:eastAsia="zh-CN"/>
        </w:rPr>
        <w:t>）在交竣工验收前编制环境监测总结报告，配合委托人完成</w:t>
      </w:r>
      <w:bookmarkStart w:id="758" w:name="_Hlk135129622"/>
      <w:r>
        <w:rPr>
          <w:rFonts w:hint="eastAsia" w:ascii="宋体" w:hAnsi="宋体" w:eastAsia="宋体" w:cs="宋体"/>
          <w:sz w:val="24"/>
          <w:szCs w:val="24"/>
          <w:highlight w:val="none"/>
          <w:lang w:eastAsia="zh-CN"/>
        </w:rPr>
        <w:t>环境监测</w:t>
      </w:r>
      <w:bookmarkEnd w:id="758"/>
      <w:r>
        <w:rPr>
          <w:rFonts w:hint="eastAsia" w:ascii="宋体" w:hAnsi="宋体" w:eastAsia="宋体" w:cs="宋体"/>
          <w:sz w:val="24"/>
          <w:szCs w:val="24"/>
          <w:highlight w:val="none"/>
          <w:lang w:eastAsia="zh-CN"/>
        </w:rPr>
        <w:t>验收工作。</w:t>
      </w:r>
    </w:p>
    <w:p>
      <w:pPr>
        <w:pStyle w:val="118"/>
        <w:spacing w:before="0" w:after="0" w:line="440" w:lineRule="exact"/>
        <w:ind w:firstLine="480" w:firstLineChars="200"/>
        <w:rPr>
          <w:rFonts w:ascii="宋体" w:hAnsi="宋体" w:eastAsia="宋体" w:cs="宋体"/>
          <w:sz w:val="24"/>
          <w:szCs w:val="24"/>
          <w:highlight w:val="none"/>
          <w:lang w:eastAsia="zh-CN"/>
        </w:rPr>
      </w:pPr>
      <w:r>
        <w:rPr>
          <w:rFonts w:ascii="宋体" w:hAnsi="宋体" w:eastAsia="宋体" w:cs="宋体"/>
          <w:sz w:val="24"/>
          <w:szCs w:val="24"/>
          <w:highlight w:val="none"/>
          <w:lang w:eastAsia="zh-CN"/>
        </w:rPr>
        <w:t>6</w:t>
      </w:r>
      <w:r>
        <w:rPr>
          <w:rFonts w:hint="eastAsia" w:ascii="宋体" w:hAnsi="宋体" w:eastAsia="宋体" w:cs="宋体"/>
          <w:sz w:val="24"/>
          <w:szCs w:val="24"/>
          <w:highlight w:val="none"/>
          <w:lang w:eastAsia="zh-CN"/>
        </w:rPr>
        <w:t>）全过程配合相关行政主管部门监督检查。</w:t>
      </w:r>
    </w:p>
    <w:p>
      <w:pPr>
        <w:pStyle w:val="107"/>
        <w:spacing w:before="260" w:after="260" w:line="440" w:lineRule="atLeast"/>
        <w:rPr>
          <w:rFonts w:ascii="Times New Roman" w:hAnsi="Times New Roman" w:eastAsia="黑体"/>
          <w:b/>
          <w:spacing w:val="1"/>
          <w:sz w:val="32"/>
          <w:szCs w:val="32"/>
          <w:highlight w:val="none"/>
          <w:lang w:eastAsia="zh-CN"/>
        </w:rPr>
      </w:pPr>
      <w:bookmarkStart w:id="759" w:name="_Toc506006158"/>
      <w:bookmarkStart w:id="760" w:name="_Toc508201377"/>
      <w:bookmarkStart w:id="761" w:name="_Toc513817621"/>
      <w:bookmarkStart w:id="762" w:name="_Toc508200439"/>
      <w:bookmarkStart w:id="763" w:name="_Toc28239"/>
      <w:bookmarkStart w:id="764" w:name="_Toc10934"/>
      <w:r>
        <w:rPr>
          <w:rFonts w:ascii="Times New Roman" w:hAnsi="Times New Roman" w:eastAsia="黑体"/>
          <w:b/>
          <w:spacing w:val="1"/>
          <w:sz w:val="32"/>
          <w:szCs w:val="32"/>
          <w:highlight w:val="none"/>
          <w:lang w:eastAsia="zh-CN"/>
        </w:rPr>
        <w:t>6. 开始</w:t>
      </w:r>
      <w:r>
        <w:rPr>
          <w:rFonts w:hint="eastAsia" w:ascii="Times New Roman" w:hAnsi="Times New Roman" w:eastAsia="黑体"/>
          <w:b/>
          <w:spacing w:val="1"/>
          <w:sz w:val="32"/>
          <w:szCs w:val="32"/>
          <w:highlight w:val="none"/>
          <w:lang w:eastAsia="zh-CN"/>
        </w:rPr>
        <w:t>服务</w:t>
      </w:r>
      <w:r>
        <w:rPr>
          <w:rFonts w:ascii="Times New Roman" w:hAnsi="Times New Roman" w:eastAsia="黑体"/>
          <w:b/>
          <w:spacing w:val="1"/>
          <w:sz w:val="32"/>
          <w:szCs w:val="32"/>
          <w:highlight w:val="none"/>
          <w:lang w:eastAsia="zh-CN"/>
        </w:rPr>
        <w:t>和完成</w:t>
      </w:r>
      <w:bookmarkEnd w:id="759"/>
      <w:bookmarkEnd w:id="760"/>
      <w:bookmarkEnd w:id="761"/>
      <w:bookmarkEnd w:id="762"/>
      <w:bookmarkEnd w:id="763"/>
      <w:bookmarkEnd w:id="764"/>
      <w:r>
        <w:rPr>
          <w:rFonts w:hint="eastAsia" w:ascii="Times New Roman" w:hAnsi="Times New Roman" w:eastAsia="黑体"/>
          <w:b/>
          <w:spacing w:val="1"/>
          <w:sz w:val="32"/>
          <w:szCs w:val="32"/>
          <w:highlight w:val="none"/>
          <w:lang w:eastAsia="zh-CN"/>
        </w:rPr>
        <w:t>服务</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65" w:name="_Toc506006159"/>
      <w:bookmarkStart w:id="766" w:name="_Toc2413"/>
      <w:bookmarkStart w:id="767" w:name="_Toc508201378"/>
      <w:bookmarkStart w:id="768" w:name="_Toc31238"/>
      <w:bookmarkStart w:id="769" w:name="_Toc508200440"/>
      <w:r>
        <w:rPr>
          <w:rFonts w:ascii="Times New Roman" w:hAnsi="Times New Roman" w:eastAsia="黑体"/>
          <w:sz w:val="28"/>
          <w:szCs w:val="21"/>
          <w:highlight w:val="none"/>
          <w:lang w:eastAsia="zh-CN"/>
        </w:rPr>
        <w:t>6.1 开始</w:t>
      </w:r>
      <w:bookmarkEnd w:id="765"/>
      <w:bookmarkEnd w:id="766"/>
      <w:bookmarkEnd w:id="767"/>
      <w:bookmarkEnd w:id="768"/>
      <w:bookmarkEnd w:id="769"/>
      <w:r>
        <w:rPr>
          <w:rFonts w:hint="eastAsia" w:ascii="Times New Roman" w:hAnsi="Times New Roman" w:eastAsia="黑体"/>
          <w:sz w:val="28"/>
          <w:szCs w:val="21"/>
          <w:highlight w:val="none"/>
          <w:lang w:eastAsia="zh-CN"/>
        </w:rPr>
        <w:t>服务</w:t>
      </w:r>
    </w:p>
    <w:p>
      <w:pPr>
        <w:pStyle w:val="122"/>
        <w:spacing w:line="440" w:lineRule="atLeast"/>
        <w:ind w:firstLine="482" w:firstLineChars="200"/>
        <w:rPr>
          <w:rFonts w:ascii="Times New Roman" w:hAnsi="Times New Roman" w:eastAsia="宋体"/>
          <w:spacing w:val="1"/>
          <w:sz w:val="24"/>
          <w:szCs w:val="24"/>
          <w:highlight w:val="none"/>
          <w:u w:val="single"/>
          <w:lang w:eastAsia="zh-CN"/>
        </w:rPr>
      </w:pPr>
      <w:r>
        <w:rPr>
          <w:rFonts w:ascii="Times New Roman" w:hAnsi="Times New Roman" w:eastAsia="宋体"/>
          <w:b/>
          <w:sz w:val="24"/>
          <w:szCs w:val="24"/>
          <w:highlight w:val="none"/>
          <w:lang w:eastAsia="zh-CN"/>
        </w:rPr>
        <w:t>6.1.1</w:t>
      </w:r>
      <w:r>
        <w:rPr>
          <w:rFonts w:ascii="Times New Roman" w:hAnsi="Times New Roman" w:eastAsia="宋体"/>
          <w:sz w:val="24"/>
          <w:szCs w:val="24"/>
          <w:highlight w:val="none"/>
          <w:lang w:eastAsia="zh-CN"/>
        </w:rPr>
        <w:t>开始</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应具备的条件：</w:t>
      </w:r>
      <w:r>
        <w:rPr>
          <w:rFonts w:hint="eastAsia" w:ascii="Times New Roman" w:hAnsi="Times New Roman" w:eastAsia="宋体"/>
          <w:spacing w:val="1"/>
          <w:sz w:val="24"/>
          <w:szCs w:val="24"/>
          <w:highlight w:val="none"/>
          <w:u w:val="single"/>
          <w:lang w:eastAsia="zh-CN"/>
        </w:rPr>
        <w:t>合同签订后，服务人应安排人员、设备等进场提供服务。</w:t>
      </w:r>
    </w:p>
    <w:p>
      <w:pPr>
        <w:pStyle w:val="122"/>
        <w:spacing w:before="0" w:after="0" w:line="440" w:lineRule="atLeast"/>
        <w:ind w:firstLine="482" w:firstLineChars="200"/>
        <w:rPr>
          <w:rFonts w:ascii="Times New Roman" w:hAnsi="Times New Roman"/>
          <w:sz w:val="24"/>
          <w:szCs w:val="24"/>
          <w:highlight w:val="none"/>
          <w:lang w:eastAsia="zh-CN"/>
        </w:rPr>
      </w:pPr>
      <w:r>
        <w:rPr>
          <w:rFonts w:ascii="Times New Roman" w:hAnsi="Times New Roman" w:eastAsia="宋体"/>
          <w:b/>
          <w:sz w:val="24"/>
          <w:szCs w:val="24"/>
          <w:highlight w:val="none"/>
          <w:lang w:eastAsia="zh-CN"/>
        </w:rPr>
        <w:t>6.1.2</w:t>
      </w:r>
      <w:r>
        <w:rPr>
          <w:rFonts w:ascii="Times New Roman" w:hAnsi="Times New Roman" w:eastAsia="宋体"/>
          <w:sz w:val="24"/>
          <w:szCs w:val="24"/>
          <w:highlight w:val="none"/>
          <w:lang w:eastAsia="zh-CN"/>
        </w:rPr>
        <w:t>因委托人原因造成合同签订之日起</w:t>
      </w:r>
      <w:r>
        <w:rPr>
          <w:rFonts w:ascii="Times New Roman" w:hAnsi="Times New Roman"/>
          <w:spacing w:val="1"/>
          <w:sz w:val="24"/>
          <w:szCs w:val="24"/>
          <w:highlight w:val="none"/>
          <w:lang w:eastAsia="zh-CN"/>
        </w:rPr>
        <w:t>90</w:t>
      </w:r>
      <w:r>
        <w:rPr>
          <w:rFonts w:ascii="Times New Roman" w:hAnsi="Times New Roman" w:eastAsia="宋体"/>
          <w:sz w:val="24"/>
          <w:szCs w:val="24"/>
          <w:highlight w:val="none"/>
          <w:lang w:eastAsia="zh-CN"/>
        </w:rPr>
        <w:t>天内未能发出开</w:t>
      </w:r>
      <w:r>
        <w:rPr>
          <w:rFonts w:ascii="Times New Roman" w:hAnsi="Times New Roman" w:eastAsia="宋体"/>
          <w:spacing w:val="1"/>
          <w:sz w:val="24"/>
          <w:szCs w:val="24"/>
          <w:highlight w:val="none"/>
          <w:lang w:eastAsia="zh-CN"/>
        </w:rPr>
        <w:t>始</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通知，</w:t>
      </w:r>
      <w:r>
        <w:rPr>
          <w:rFonts w:ascii="Times New Roman" w:hAnsi="Times New Roman" w:eastAsia="宋体"/>
          <w:sz w:val="24"/>
          <w:szCs w:val="24"/>
          <w:highlight w:val="none"/>
          <w:lang w:eastAsia="zh-CN"/>
        </w:rPr>
        <w:t>对于本合同履行及相关费用、服务期延长承担的约定：</w:t>
      </w:r>
      <w:r>
        <w:rPr>
          <w:rFonts w:hint="eastAsia" w:ascii="Times New Roman" w:hAnsi="Times New Roman" w:eastAsia="宋体"/>
          <w:spacing w:val="1"/>
          <w:sz w:val="24"/>
          <w:szCs w:val="24"/>
          <w:highlight w:val="none"/>
          <w:u w:val="single"/>
          <w:lang w:eastAsia="zh-CN"/>
        </w:rPr>
        <w:t>不调整</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70" w:name="_Toc27790"/>
      <w:bookmarkStart w:id="771" w:name="_Toc508200441"/>
      <w:bookmarkStart w:id="772" w:name="_Toc508201379"/>
      <w:bookmarkStart w:id="773" w:name="_Toc506006160"/>
      <w:bookmarkStart w:id="774" w:name="_Toc31343"/>
      <w:r>
        <w:rPr>
          <w:rFonts w:ascii="Times New Roman" w:hAnsi="Times New Roman" w:eastAsia="黑体"/>
          <w:sz w:val="28"/>
          <w:szCs w:val="21"/>
          <w:highlight w:val="none"/>
          <w:lang w:eastAsia="zh-CN"/>
        </w:rPr>
        <w:t>6.2 委托人引起的周期延误</w:t>
      </w:r>
      <w:bookmarkEnd w:id="770"/>
      <w:bookmarkEnd w:id="771"/>
      <w:bookmarkEnd w:id="772"/>
      <w:bookmarkEnd w:id="773"/>
      <w:bookmarkEnd w:id="774"/>
    </w:p>
    <w:p>
      <w:pPr>
        <w:pStyle w:val="120"/>
        <w:spacing w:before="0" w:after="0" w:line="440" w:lineRule="atLeast"/>
        <w:ind w:firstLine="480" w:firstLineChars="200"/>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在履行合同过程中，由于委托人的下列原因造成</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期限延误的，</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要求延长</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期限并增加</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费用的具体方法：</w:t>
      </w:r>
      <w:r>
        <w:rPr>
          <w:rFonts w:hint="eastAsia" w:ascii="Times New Roman" w:hAnsi="Times New Roman" w:eastAsia="宋体"/>
          <w:spacing w:val="1"/>
          <w:sz w:val="24"/>
          <w:szCs w:val="24"/>
          <w:highlight w:val="none"/>
          <w:u w:val="single"/>
          <w:lang w:eastAsia="zh-CN"/>
        </w:rPr>
        <w:t>不调整</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75" w:name="_Toc508201380"/>
      <w:bookmarkStart w:id="776" w:name="_Toc508200442"/>
      <w:bookmarkStart w:id="777" w:name="_Toc30079"/>
      <w:bookmarkStart w:id="778" w:name="_Toc30597"/>
      <w:bookmarkStart w:id="779" w:name="_Toc506006161"/>
      <w:r>
        <w:rPr>
          <w:rFonts w:ascii="Times New Roman" w:hAnsi="Times New Roman" w:eastAsia="黑体"/>
          <w:sz w:val="28"/>
          <w:szCs w:val="21"/>
          <w:highlight w:val="none"/>
          <w:lang w:eastAsia="zh-CN"/>
        </w:rPr>
        <w:t xml:space="preserve">6.3 </w:t>
      </w:r>
      <w:r>
        <w:rPr>
          <w:rFonts w:hint="eastAsia" w:ascii="Times New Roman" w:hAnsi="Times New Roman" w:eastAsia="黑体"/>
          <w:sz w:val="28"/>
          <w:szCs w:val="21"/>
          <w:highlight w:val="none"/>
          <w:lang w:eastAsia="zh-CN"/>
        </w:rPr>
        <w:t>服务人</w:t>
      </w:r>
      <w:r>
        <w:rPr>
          <w:rFonts w:ascii="Times New Roman" w:hAnsi="Times New Roman" w:eastAsia="黑体"/>
          <w:sz w:val="28"/>
          <w:szCs w:val="21"/>
          <w:highlight w:val="none"/>
          <w:lang w:eastAsia="zh-CN"/>
        </w:rPr>
        <w:t>引起的周期延误</w:t>
      </w:r>
      <w:bookmarkEnd w:id="775"/>
      <w:bookmarkEnd w:id="776"/>
      <w:bookmarkEnd w:id="777"/>
      <w:bookmarkEnd w:id="778"/>
      <w:bookmarkEnd w:id="779"/>
    </w:p>
    <w:p>
      <w:pPr>
        <w:pStyle w:val="122"/>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支付逾期违约金的计算方法：</w:t>
      </w:r>
      <w:r>
        <w:rPr>
          <w:rFonts w:hint="eastAsia" w:ascii="Times New Roman" w:hAnsi="Times New Roman" w:eastAsia="宋体"/>
          <w:spacing w:val="1"/>
          <w:sz w:val="24"/>
          <w:szCs w:val="24"/>
          <w:highlight w:val="none"/>
          <w:u w:val="single"/>
          <w:lang w:eastAsia="zh-CN"/>
        </w:rPr>
        <w:t>每逾期一天，应承担人民币1000元/天的违约金，超过10天的每逾期一天处罚2000元；</w:t>
      </w:r>
    </w:p>
    <w:p>
      <w:pPr>
        <w:pStyle w:val="122"/>
        <w:spacing w:before="0" w:after="0" w:line="440" w:lineRule="atLeast"/>
        <w:ind w:firstLine="480" w:firstLineChars="200"/>
        <w:rPr>
          <w:rFonts w:ascii="Times New Roman" w:hAnsi="Times New Roman" w:eastAsia="宋体"/>
          <w:sz w:val="24"/>
          <w:szCs w:val="24"/>
          <w:highlight w:val="none"/>
          <w:lang w:eastAsia="zh-CN"/>
        </w:rPr>
      </w:pP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支付逾期违约金的最高限额：</w:t>
      </w:r>
      <w:r>
        <w:rPr>
          <w:rFonts w:hint="eastAsia" w:ascii="Times New Roman" w:hAnsi="Times New Roman" w:eastAsia="宋体"/>
          <w:spacing w:val="1"/>
          <w:sz w:val="24"/>
          <w:szCs w:val="24"/>
          <w:highlight w:val="none"/>
          <w:u w:val="single"/>
          <w:lang w:eastAsia="zh-CN"/>
        </w:rPr>
        <w:t>签约合同价的</w:t>
      </w:r>
      <w:r>
        <w:rPr>
          <w:rFonts w:ascii="Times New Roman" w:hAnsi="Times New Roman" w:eastAsia="宋体"/>
          <w:spacing w:val="1"/>
          <w:sz w:val="24"/>
          <w:szCs w:val="24"/>
          <w:highlight w:val="none"/>
          <w:u w:val="single"/>
          <w:lang w:eastAsia="zh-CN"/>
        </w:rPr>
        <w:t>1</w:t>
      </w:r>
      <w:r>
        <w:rPr>
          <w:rFonts w:hint="eastAsia" w:ascii="Times New Roman" w:hAnsi="Times New Roman" w:eastAsia="宋体"/>
          <w:spacing w:val="1"/>
          <w:sz w:val="24"/>
          <w:szCs w:val="24"/>
          <w:highlight w:val="none"/>
          <w:u w:val="single"/>
          <w:lang w:eastAsia="zh-CN"/>
        </w:rPr>
        <w:t>%</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80" w:name="_Toc29506"/>
      <w:bookmarkStart w:id="781" w:name="_Toc508200443"/>
      <w:bookmarkStart w:id="782" w:name="_Toc508201381"/>
      <w:bookmarkStart w:id="783" w:name="_Toc506006162"/>
      <w:bookmarkStart w:id="784" w:name="_Toc2658"/>
      <w:r>
        <w:rPr>
          <w:rFonts w:ascii="Times New Roman" w:hAnsi="Times New Roman" w:eastAsia="黑体"/>
          <w:sz w:val="28"/>
          <w:szCs w:val="21"/>
          <w:highlight w:val="none"/>
          <w:lang w:eastAsia="zh-CN"/>
        </w:rPr>
        <w:t>6.5 完成</w:t>
      </w:r>
      <w:bookmarkEnd w:id="780"/>
      <w:bookmarkEnd w:id="781"/>
      <w:bookmarkEnd w:id="782"/>
      <w:bookmarkEnd w:id="783"/>
      <w:bookmarkEnd w:id="784"/>
      <w:r>
        <w:rPr>
          <w:rFonts w:hint="eastAsia" w:ascii="Times New Roman" w:hAnsi="Times New Roman" w:eastAsia="黑体"/>
          <w:sz w:val="28"/>
          <w:szCs w:val="21"/>
          <w:highlight w:val="none"/>
          <w:lang w:eastAsia="zh-CN"/>
        </w:rPr>
        <w:t>服务</w:t>
      </w:r>
    </w:p>
    <w:p>
      <w:pPr>
        <w:pStyle w:val="123"/>
        <w:spacing w:line="440" w:lineRule="atLeast"/>
        <w:ind w:firstLine="480" w:firstLineChars="200"/>
        <w:rPr>
          <w:rFonts w:ascii="Times New Roman" w:hAnsi="Times New Roman" w:eastAsia="宋体"/>
          <w:spacing w:val="1"/>
          <w:sz w:val="24"/>
          <w:szCs w:val="24"/>
          <w:highlight w:val="none"/>
          <w:u w:val="single"/>
          <w:lang w:eastAsia="zh-CN"/>
        </w:rPr>
      </w:pPr>
      <w:r>
        <w:rPr>
          <w:rFonts w:ascii="Times New Roman" w:hAnsi="Times New Roman"/>
          <w:b/>
          <w:sz w:val="24"/>
          <w:szCs w:val="24"/>
          <w:highlight w:val="none"/>
          <w:lang w:eastAsia="zh-CN"/>
        </w:rPr>
        <w:t>6.5.3</w:t>
      </w:r>
      <w:r>
        <w:rPr>
          <w:rFonts w:hint="eastAsia" w:ascii="Times New Roman" w:hAnsi="Times New Roman" w:eastAsia="宋体"/>
          <w:bCs/>
          <w:sz w:val="24"/>
          <w:szCs w:val="24"/>
          <w:highlight w:val="none"/>
          <w:lang w:eastAsia="zh-CN"/>
        </w:rPr>
        <w:t>服务</w:t>
      </w:r>
      <w:r>
        <w:rPr>
          <w:rFonts w:ascii="Times New Roman" w:hAnsi="Times New Roman" w:eastAsia="宋体"/>
          <w:bCs/>
          <w:sz w:val="24"/>
          <w:szCs w:val="24"/>
          <w:highlight w:val="none"/>
          <w:lang w:eastAsia="zh-CN"/>
        </w:rPr>
        <w:t>成果文件</w:t>
      </w:r>
      <w:r>
        <w:rPr>
          <w:rFonts w:ascii="Times New Roman" w:hAnsi="Times New Roman" w:eastAsia="宋体"/>
          <w:spacing w:val="-2"/>
          <w:sz w:val="24"/>
          <w:szCs w:val="24"/>
          <w:highlight w:val="none"/>
          <w:lang w:eastAsia="zh-CN"/>
        </w:rPr>
        <w:t>的形式：</w:t>
      </w:r>
      <w:r>
        <w:rPr>
          <w:rFonts w:hint="eastAsia" w:ascii="Times New Roman" w:hAnsi="Times New Roman" w:eastAsia="宋体"/>
          <w:spacing w:val="1"/>
          <w:sz w:val="24"/>
          <w:szCs w:val="24"/>
          <w:highlight w:val="none"/>
          <w:u w:val="single"/>
          <w:lang w:eastAsia="zh-CN"/>
        </w:rPr>
        <w:t>纸质文件和电子文件两种形式</w:t>
      </w:r>
      <w:r>
        <w:rPr>
          <w:rFonts w:ascii="Times New Roman" w:hAnsi="Times New Roman" w:eastAsia="宋体"/>
          <w:sz w:val="24"/>
          <w:szCs w:val="24"/>
          <w:highlight w:val="none"/>
          <w:lang w:eastAsia="zh-CN"/>
        </w:rPr>
        <w:t>；</w:t>
      </w:r>
      <w:r>
        <w:rPr>
          <w:rFonts w:ascii="Times New Roman" w:hAnsi="Times New Roman" w:eastAsia="宋体"/>
          <w:spacing w:val="-2"/>
          <w:sz w:val="24"/>
          <w:szCs w:val="24"/>
          <w:highlight w:val="none"/>
          <w:lang w:eastAsia="zh-CN"/>
        </w:rPr>
        <w:t>若有</w:t>
      </w:r>
      <w:r>
        <w:rPr>
          <w:rFonts w:ascii="Times New Roman" w:hAnsi="Times New Roman" w:eastAsia="宋体"/>
          <w:spacing w:val="1"/>
          <w:sz w:val="24"/>
          <w:szCs w:val="24"/>
          <w:highlight w:val="none"/>
          <w:lang w:eastAsia="zh-CN"/>
        </w:rPr>
        <w:t>不一致时，应以文件为准。</w:t>
      </w:r>
    </w:p>
    <w:p>
      <w:pPr>
        <w:pStyle w:val="120"/>
        <w:spacing w:line="440" w:lineRule="atLeast"/>
        <w:ind w:firstLine="480"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成果文件各种形式的份数和要求：</w:t>
      </w:r>
      <w:r>
        <w:rPr>
          <w:rFonts w:hint="eastAsia" w:ascii="Times New Roman" w:hAnsi="Times New Roman" w:eastAsia="宋体"/>
          <w:spacing w:val="1"/>
          <w:sz w:val="24"/>
          <w:szCs w:val="24"/>
          <w:highlight w:val="none"/>
          <w:u w:val="single"/>
          <w:lang w:eastAsia="zh-CN"/>
        </w:rPr>
        <w:t>一式八份</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85" w:name="_Toc508200444"/>
      <w:bookmarkStart w:id="786" w:name="_Toc508201382"/>
      <w:bookmarkStart w:id="787" w:name="_Toc16806"/>
      <w:bookmarkStart w:id="788" w:name="_Toc506006163"/>
      <w:bookmarkStart w:id="789" w:name="_Toc1061"/>
      <w:r>
        <w:rPr>
          <w:rFonts w:ascii="Times New Roman" w:hAnsi="Times New Roman" w:eastAsia="黑体"/>
          <w:sz w:val="28"/>
          <w:szCs w:val="21"/>
          <w:highlight w:val="none"/>
          <w:lang w:eastAsia="zh-CN"/>
        </w:rPr>
        <w:t>6.6 提前完成</w:t>
      </w:r>
      <w:bookmarkEnd w:id="785"/>
      <w:bookmarkEnd w:id="786"/>
      <w:bookmarkEnd w:id="787"/>
      <w:bookmarkEnd w:id="788"/>
      <w:bookmarkEnd w:id="789"/>
      <w:r>
        <w:rPr>
          <w:rFonts w:hint="eastAsia" w:ascii="Times New Roman" w:hAnsi="Times New Roman" w:eastAsia="黑体"/>
          <w:sz w:val="28"/>
          <w:szCs w:val="21"/>
          <w:highlight w:val="none"/>
          <w:lang w:eastAsia="zh-CN"/>
        </w:rPr>
        <w:t>服务</w:t>
      </w:r>
    </w:p>
    <w:p>
      <w:pPr>
        <w:pStyle w:val="121"/>
        <w:spacing w:before="0" w:after="0" w:line="440" w:lineRule="atLeast"/>
        <w:ind w:firstLine="482" w:firstLineChars="200"/>
        <w:rPr>
          <w:rFonts w:ascii="Times New Roman" w:hAnsi="Times New Roman" w:eastAsia="宋体"/>
          <w:b/>
          <w:sz w:val="24"/>
          <w:szCs w:val="24"/>
          <w:highlight w:val="none"/>
          <w:lang w:eastAsia="zh-CN"/>
        </w:rPr>
      </w:pPr>
      <w:r>
        <w:rPr>
          <w:rFonts w:ascii="Times New Roman" w:hAnsi="Times New Roman" w:eastAsia="宋体"/>
          <w:b/>
          <w:sz w:val="24"/>
          <w:szCs w:val="24"/>
          <w:highlight w:val="none"/>
          <w:lang w:eastAsia="zh-CN"/>
        </w:rPr>
        <w:t xml:space="preserve">6.6.1 </w:t>
      </w:r>
      <w:r>
        <w:rPr>
          <w:rFonts w:ascii="Times New Roman" w:hAnsi="Times New Roman" w:eastAsia="宋体"/>
          <w:spacing w:val="1"/>
          <w:sz w:val="24"/>
          <w:szCs w:val="24"/>
          <w:highlight w:val="none"/>
          <w:lang w:eastAsia="zh-CN"/>
        </w:rPr>
        <w:t>委托人接受建议书的，</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费用增加或减少部分的承担：</w:t>
      </w:r>
      <w:r>
        <w:rPr>
          <w:rFonts w:hint="eastAsia" w:ascii="Times New Roman" w:hAnsi="Times New Roman" w:eastAsia="宋体"/>
          <w:spacing w:val="1"/>
          <w:sz w:val="24"/>
          <w:szCs w:val="24"/>
          <w:highlight w:val="none"/>
          <w:u w:val="single"/>
          <w:lang w:eastAsia="zh-CN"/>
        </w:rPr>
        <w:t>不调整</w:t>
      </w:r>
    </w:p>
    <w:p>
      <w:pPr>
        <w:pStyle w:val="121"/>
        <w:spacing w:before="0" w:after="0" w:line="440" w:lineRule="atLeast"/>
        <w:ind w:firstLine="482" w:firstLineChars="200"/>
        <w:rPr>
          <w:rFonts w:ascii="Times New Roman" w:hAnsi="Times New Roman" w:eastAsia="宋体"/>
          <w:sz w:val="24"/>
          <w:szCs w:val="24"/>
          <w:highlight w:val="none"/>
          <w:lang w:eastAsia="zh-CN"/>
        </w:rPr>
      </w:pPr>
      <w:r>
        <w:rPr>
          <w:rFonts w:ascii="Times New Roman" w:hAnsi="Times New Roman" w:eastAsia="宋体"/>
          <w:b/>
          <w:sz w:val="24"/>
          <w:szCs w:val="24"/>
          <w:highlight w:val="none"/>
          <w:lang w:eastAsia="zh-CN"/>
        </w:rPr>
        <w:t>6.6.3</w:t>
      </w:r>
      <w:r>
        <w:rPr>
          <w:rFonts w:ascii="Times New Roman" w:hAnsi="Times New Roman" w:eastAsia="宋体"/>
          <w:sz w:val="24"/>
          <w:szCs w:val="24"/>
          <w:highlight w:val="none"/>
          <w:lang w:eastAsia="zh-CN"/>
        </w:rPr>
        <w:t>由于</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提前完成</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而给委托人带来经济效益的，委托人给予</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奖励：</w:t>
      </w:r>
      <w:r>
        <w:rPr>
          <w:rFonts w:hint="eastAsia" w:ascii="Times New Roman" w:hAnsi="Times New Roman" w:eastAsia="宋体"/>
          <w:spacing w:val="1"/>
          <w:sz w:val="24"/>
          <w:szCs w:val="24"/>
          <w:highlight w:val="none"/>
          <w:u w:val="single"/>
          <w:lang w:eastAsia="zh-CN"/>
        </w:rPr>
        <w:t>不另给予奖励</w:t>
      </w:r>
    </w:p>
    <w:p>
      <w:pPr>
        <w:pStyle w:val="107"/>
        <w:spacing w:before="260" w:after="260" w:line="440" w:lineRule="atLeast"/>
        <w:rPr>
          <w:rFonts w:ascii="Times New Roman" w:hAnsi="Times New Roman" w:eastAsia="黑体"/>
          <w:b/>
          <w:spacing w:val="1"/>
          <w:sz w:val="32"/>
          <w:szCs w:val="32"/>
          <w:highlight w:val="none"/>
          <w:lang w:eastAsia="zh-CN"/>
        </w:rPr>
      </w:pPr>
      <w:bookmarkStart w:id="790" w:name="_Toc506006164"/>
      <w:bookmarkStart w:id="791" w:name="_Toc508201383"/>
      <w:bookmarkStart w:id="792" w:name="_Toc19898"/>
      <w:bookmarkStart w:id="793" w:name="_Toc513817622"/>
      <w:bookmarkStart w:id="794" w:name="_Toc2846"/>
      <w:bookmarkStart w:id="795" w:name="_Toc508200445"/>
      <w:r>
        <w:rPr>
          <w:rFonts w:ascii="Times New Roman" w:hAnsi="Times New Roman" w:eastAsia="黑体"/>
          <w:b/>
          <w:spacing w:val="1"/>
          <w:sz w:val="32"/>
          <w:szCs w:val="32"/>
          <w:highlight w:val="none"/>
          <w:lang w:eastAsia="zh-CN"/>
        </w:rPr>
        <w:t xml:space="preserve">8. </w:t>
      </w:r>
      <w:bookmarkEnd w:id="790"/>
      <w:r>
        <w:rPr>
          <w:rFonts w:hint="eastAsia" w:ascii="Times New Roman" w:hAnsi="Times New Roman" w:eastAsia="黑体"/>
          <w:b/>
          <w:spacing w:val="1"/>
          <w:sz w:val="32"/>
          <w:szCs w:val="32"/>
          <w:highlight w:val="none"/>
          <w:lang w:eastAsia="zh-CN"/>
        </w:rPr>
        <w:t>服务</w:t>
      </w:r>
      <w:r>
        <w:rPr>
          <w:rFonts w:ascii="Times New Roman" w:hAnsi="Times New Roman" w:eastAsia="黑体"/>
          <w:b/>
          <w:spacing w:val="1"/>
          <w:sz w:val="32"/>
          <w:szCs w:val="32"/>
          <w:highlight w:val="none"/>
          <w:lang w:eastAsia="zh-CN"/>
        </w:rPr>
        <w:t>成果文件</w:t>
      </w:r>
      <w:bookmarkEnd w:id="791"/>
      <w:bookmarkEnd w:id="792"/>
      <w:bookmarkEnd w:id="793"/>
      <w:bookmarkEnd w:id="794"/>
      <w:bookmarkEnd w:id="795"/>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796" w:name="_Toc508201384"/>
      <w:bookmarkStart w:id="797" w:name="_Toc506006165"/>
      <w:bookmarkStart w:id="798" w:name="_Toc8845"/>
      <w:bookmarkStart w:id="799" w:name="_Toc508200446"/>
      <w:bookmarkStart w:id="800" w:name="_Toc11710"/>
      <w:r>
        <w:rPr>
          <w:rFonts w:ascii="Times New Roman" w:hAnsi="Times New Roman" w:eastAsia="黑体"/>
          <w:sz w:val="28"/>
          <w:szCs w:val="21"/>
          <w:highlight w:val="none"/>
          <w:lang w:eastAsia="zh-CN"/>
        </w:rPr>
        <w:t xml:space="preserve">8.1 </w:t>
      </w:r>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成果文件接收</w:t>
      </w:r>
      <w:bookmarkEnd w:id="796"/>
      <w:bookmarkEnd w:id="797"/>
      <w:bookmarkEnd w:id="798"/>
      <w:bookmarkEnd w:id="799"/>
      <w:bookmarkEnd w:id="800"/>
    </w:p>
    <w:p>
      <w:pPr>
        <w:pStyle w:val="11"/>
        <w:spacing w:line="440" w:lineRule="atLeast"/>
        <w:ind w:firstLine="482" w:firstLineChars="200"/>
        <w:jc w:val="both"/>
        <w:rPr>
          <w:sz w:val="24"/>
          <w:highlight w:val="none"/>
        </w:rPr>
      </w:pPr>
      <w:r>
        <w:rPr>
          <w:b/>
          <w:sz w:val="24"/>
          <w:highlight w:val="none"/>
        </w:rPr>
        <w:t>8.1.3</w:t>
      </w:r>
      <w:r>
        <w:rPr>
          <w:rFonts w:hint="eastAsia"/>
          <w:sz w:val="24"/>
          <w:highlight w:val="none"/>
        </w:rPr>
        <w:t>服务</w:t>
      </w:r>
      <w:r>
        <w:rPr>
          <w:sz w:val="24"/>
          <w:highlight w:val="none"/>
        </w:rPr>
        <w:t>成果文件内容：</w:t>
      </w:r>
      <w:r>
        <w:rPr>
          <w:rFonts w:hint="eastAsia"/>
          <w:spacing w:val="1"/>
          <w:sz w:val="24"/>
          <w:szCs w:val="24"/>
          <w:highlight w:val="none"/>
          <w:u w:val="single"/>
        </w:rPr>
        <w:t>水土保持监测/环境保护监测</w:t>
      </w:r>
    </w:p>
    <w:p>
      <w:pPr>
        <w:pStyle w:val="11"/>
        <w:spacing w:line="440" w:lineRule="atLeast"/>
        <w:ind w:firstLine="480" w:firstLineChars="200"/>
        <w:jc w:val="both"/>
        <w:rPr>
          <w:sz w:val="24"/>
          <w:highlight w:val="none"/>
        </w:rPr>
      </w:pPr>
      <w:r>
        <w:rPr>
          <w:rFonts w:hint="eastAsia"/>
          <w:sz w:val="24"/>
          <w:highlight w:val="none"/>
        </w:rPr>
        <w:t>服务</w:t>
      </w:r>
      <w:r>
        <w:rPr>
          <w:sz w:val="24"/>
          <w:highlight w:val="none"/>
        </w:rPr>
        <w:t>成果文件提交的要求：</w:t>
      </w:r>
      <w:r>
        <w:rPr>
          <w:rFonts w:hint="eastAsia"/>
          <w:spacing w:val="1"/>
          <w:sz w:val="24"/>
          <w:szCs w:val="24"/>
          <w:highlight w:val="none"/>
          <w:u w:val="single"/>
        </w:rPr>
        <w:t>按通用条款</w:t>
      </w:r>
    </w:p>
    <w:p>
      <w:pPr>
        <w:spacing w:line="440" w:lineRule="atLeast"/>
        <w:ind w:firstLine="480" w:firstLineChars="200"/>
        <w:rPr>
          <w:sz w:val="24"/>
          <w:highlight w:val="none"/>
        </w:rPr>
      </w:pPr>
      <w:r>
        <w:rPr>
          <w:rFonts w:ascii="宋体" w:hAnsi="宋体"/>
          <w:sz w:val="24"/>
          <w:szCs w:val="24"/>
          <w:highlight w:val="none"/>
        </w:rPr>
        <w:fldChar w:fldCharType="begin"/>
      </w:r>
      <w:r>
        <w:rPr>
          <w:rFonts w:ascii="宋体" w:hAnsi="宋体"/>
          <w:sz w:val="24"/>
          <w:szCs w:val="24"/>
          <w:highlight w:val="none"/>
        </w:rPr>
        <w:instrText xml:space="preserve"> </w:instrText>
      </w:r>
      <w:r>
        <w:rPr>
          <w:rFonts w:hint="eastAsia" w:ascii="宋体" w:hAnsi="宋体"/>
          <w:sz w:val="24"/>
          <w:szCs w:val="24"/>
          <w:highlight w:val="none"/>
        </w:rPr>
        <w:instrText xml:space="preserve">eq \o\ac(□,√)</w:instrText>
      </w:r>
      <w:r>
        <w:rPr>
          <w:rFonts w:ascii="宋体" w:hAnsi="宋体"/>
          <w:sz w:val="24"/>
          <w:szCs w:val="24"/>
          <w:highlight w:val="none"/>
        </w:rPr>
        <w:fldChar w:fldCharType="end"/>
      </w:r>
      <w:r>
        <w:rPr>
          <w:sz w:val="24"/>
          <w:highlight w:val="none"/>
        </w:rPr>
        <w:t>纸质文件，纸幅、装订格式、份数等要求：</w:t>
      </w:r>
      <w:r>
        <w:rPr>
          <w:rFonts w:hint="eastAsia"/>
          <w:sz w:val="24"/>
          <w:highlight w:val="none"/>
          <w:u w:val="single"/>
        </w:rPr>
        <w:t>按上级主管部门要求，</w:t>
      </w:r>
      <w:r>
        <w:rPr>
          <w:rFonts w:hint="eastAsia"/>
          <w:spacing w:val="1"/>
          <w:sz w:val="24"/>
          <w:szCs w:val="24"/>
          <w:highlight w:val="none"/>
          <w:u w:val="single"/>
        </w:rPr>
        <w:t>一式八份</w:t>
      </w:r>
    </w:p>
    <w:p>
      <w:pPr>
        <w:pStyle w:val="124"/>
        <w:spacing w:before="0" w:after="0" w:line="440" w:lineRule="atLeast"/>
        <w:ind w:firstLine="480" w:firstLineChars="200"/>
        <w:rPr>
          <w:rFonts w:ascii="Times New Roman" w:hAnsi="Times New Roman" w:eastAsia="宋体"/>
          <w:sz w:val="24"/>
          <w:szCs w:val="24"/>
          <w:highlight w:val="none"/>
          <w:lang w:eastAsia="zh-CN"/>
        </w:rPr>
      </w:pPr>
      <w:r>
        <w:rPr>
          <w:rFonts w:ascii="宋体" w:hAnsi="宋体" w:eastAsia="宋体"/>
          <w:sz w:val="24"/>
          <w:szCs w:val="24"/>
          <w:highlight w:val="none"/>
          <w:lang w:eastAsia="zh-CN"/>
        </w:rPr>
        <w:fldChar w:fldCharType="begin"/>
      </w:r>
      <w:r>
        <w:rPr>
          <w:rFonts w:ascii="宋体" w:hAnsi="宋体" w:eastAsia="宋体"/>
          <w:sz w:val="24"/>
          <w:szCs w:val="24"/>
          <w:highlight w:val="none"/>
          <w:lang w:eastAsia="zh-CN"/>
        </w:rPr>
        <w:instrText xml:space="preserve"> </w:instrText>
      </w:r>
      <w:r>
        <w:rPr>
          <w:rFonts w:hint="eastAsia" w:ascii="宋体" w:hAnsi="宋体" w:eastAsia="宋体"/>
          <w:sz w:val="24"/>
          <w:szCs w:val="24"/>
          <w:highlight w:val="none"/>
          <w:lang w:eastAsia="zh-CN"/>
        </w:rPr>
        <w:instrText xml:space="preserve">eq \o\ac(□,√)</w:instrText>
      </w:r>
      <w:r>
        <w:rPr>
          <w:rFonts w:ascii="宋体" w:hAnsi="宋体" w:eastAsia="宋体"/>
          <w:sz w:val="24"/>
          <w:szCs w:val="24"/>
          <w:highlight w:val="none"/>
          <w:lang w:eastAsia="zh-CN"/>
        </w:rPr>
        <w:fldChar w:fldCharType="end"/>
      </w:r>
      <w:r>
        <w:rPr>
          <w:rFonts w:ascii="Times New Roman" w:hAnsi="Times New Roman" w:eastAsia="宋体"/>
          <w:sz w:val="24"/>
          <w:szCs w:val="24"/>
          <w:highlight w:val="none"/>
          <w:lang w:eastAsia="zh-CN"/>
        </w:rPr>
        <w:t>电子文件，使用光盘和 U 盘分别贮存，份数要求：</w:t>
      </w:r>
      <w:r>
        <w:rPr>
          <w:rFonts w:hint="eastAsia" w:ascii="Times New Roman" w:hAnsi="Times New Roman" w:eastAsia="宋体"/>
          <w:spacing w:val="1"/>
          <w:sz w:val="24"/>
          <w:szCs w:val="24"/>
          <w:highlight w:val="none"/>
          <w:u w:val="single"/>
          <w:lang w:eastAsia="zh-CN"/>
        </w:rPr>
        <w:t>一份</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801" w:name="_Toc506006166"/>
      <w:bookmarkStart w:id="802" w:name="_Toc508201385"/>
      <w:bookmarkStart w:id="803" w:name="_Toc19666"/>
      <w:bookmarkStart w:id="804" w:name="_Toc508200447"/>
      <w:bookmarkStart w:id="805" w:name="_Toc12788"/>
      <w:r>
        <w:rPr>
          <w:rFonts w:ascii="Times New Roman" w:hAnsi="Times New Roman" w:eastAsia="黑体"/>
          <w:sz w:val="28"/>
          <w:szCs w:val="21"/>
          <w:highlight w:val="none"/>
          <w:lang w:eastAsia="zh-CN"/>
        </w:rPr>
        <w:t>8.2 委托人审查</w:t>
      </w:r>
      <w:bookmarkEnd w:id="801"/>
      <w:r>
        <w:rPr>
          <w:rFonts w:hint="eastAsia" w:ascii="Times New Roman" w:hAnsi="Times New Roman" w:eastAsia="黑体"/>
          <w:sz w:val="28"/>
          <w:szCs w:val="21"/>
          <w:highlight w:val="none"/>
          <w:lang w:eastAsia="zh-CN"/>
        </w:rPr>
        <w:t>服务</w:t>
      </w:r>
      <w:r>
        <w:rPr>
          <w:rFonts w:ascii="Times New Roman" w:hAnsi="Times New Roman" w:eastAsia="黑体"/>
          <w:sz w:val="28"/>
          <w:szCs w:val="21"/>
          <w:highlight w:val="none"/>
          <w:lang w:eastAsia="zh-CN"/>
        </w:rPr>
        <w:t>成果文件</w:t>
      </w:r>
      <w:bookmarkEnd w:id="802"/>
      <w:bookmarkEnd w:id="803"/>
      <w:bookmarkEnd w:id="804"/>
      <w:bookmarkEnd w:id="805"/>
    </w:p>
    <w:p>
      <w:pPr>
        <w:pStyle w:val="124"/>
        <w:spacing w:before="0" w:after="0" w:line="440" w:lineRule="atLeast"/>
        <w:ind w:firstLine="482" w:firstLineChars="200"/>
        <w:rPr>
          <w:rFonts w:ascii="Times New Roman" w:hAnsi="Times New Roman" w:eastAsia="宋体"/>
          <w:spacing w:val="1"/>
          <w:sz w:val="24"/>
          <w:szCs w:val="24"/>
          <w:highlight w:val="none"/>
          <w:u w:val="single"/>
          <w:lang w:eastAsia="zh-CN"/>
        </w:rPr>
      </w:pPr>
      <w:r>
        <w:rPr>
          <w:rFonts w:ascii="Times New Roman" w:hAnsi="Times New Roman" w:eastAsia="宋体"/>
          <w:b/>
          <w:sz w:val="24"/>
          <w:szCs w:val="24"/>
          <w:highlight w:val="none"/>
          <w:lang w:eastAsia="zh-CN"/>
        </w:rPr>
        <w:t>8.2.1</w:t>
      </w:r>
      <w:r>
        <w:rPr>
          <w:rFonts w:ascii="Times New Roman" w:hAnsi="Times New Roman" w:eastAsia="宋体"/>
          <w:spacing w:val="1"/>
          <w:sz w:val="24"/>
          <w:szCs w:val="24"/>
          <w:highlight w:val="none"/>
          <w:lang w:eastAsia="zh-CN"/>
        </w:rPr>
        <w:t>委托人审查</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成果文件的具体范围：</w:t>
      </w:r>
      <w:r>
        <w:rPr>
          <w:rFonts w:hint="eastAsia" w:ascii="Times New Roman" w:hAnsi="Times New Roman" w:eastAsia="宋体"/>
          <w:spacing w:val="1"/>
          <w:sz w:val="24"/>
          <w:szCs w:val="24"/>
          <w:highlight w:val="none"/>
          <w:u w:val="single"/>
          <w:lang w:eastAsia="zh-CN"/>
        </w:rPr>
        <w:t>/</w:t>
      </w:r>
    </w:p>
    <w:p>
      <w:pPr>
        <w:pStyle w:val="124"/>
        <w:spacing w:before="0" w:after="0" w:line="440" w:lineRule="atLeast"/>
        <w:ind w:firstLine="484"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审查明细内容：</w:t>
      </w:r>
      <w:r>
        <w:rPr>
          <w:rFonts w:hint="eastAsia" w:ascii="Times New Roman" w:hAnsi="Times New Roman" w:eastAsia="宋体"/>
          <w:spacing w:val="1"/>
          <w:sz w:val="24"/>
          <w:szCs w:val="24"/>
          <w:highlight w:val="none"/>
          <w:u w:val="single"/>
          <w:lang w:eastAsia="zh-CN"/>
        </w:rPr>
        <w:t>/</w:t>
      </w:r>
    </w:p>
    <w:p>
      <w:pPr>
        <w:pStyle w:val="124"/>
        <w:spacing w:before="0" w:after="0" w:line="440" w:lineRule="atLeast"/>
        <w:ind w:firstLine="484"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审查费用分担：</w:t>
      </w:r>
      <w:r>
        <w:rPr>
          <w:rFonts w:hint="eastAsia" w:ascii="Times New Roman" w:hAnsi="Times New Roman" w:eastAsia="宋体"/>
          <w:spacing w:val="1"/>
          <w:sz w:val="24"/>
          <w:szCs w:val="24"/>
          <w:highlight w:val="none"/>
          <w:u w:val="single"/>
          <w:lang w:eastAsia="zh-CN"/>
        </w:rPr>
        <w:t>/</w:t>
      </w:r>
    </w:p>
    <w:p>
      <w:pPr>
        <w:pStyle w:val="122"/>
        <w:spacing w:before="0" w:after="0" w:line="440" w:lineRule="atLeast"/>
        <w:ind w:firstLine="482" w:firstLineChars="200"/>
        <w:rPr>
          <w:rFonts w:ascii="Times New Roman" w:hAnsi="Times New Roman" w:eastAsia="宋体"/>
          <w:spacing w:val="1"/>
          <w:sz w:val="24"/>
          <w:szCs w:val="24"/>
          <w:highlight w:val="none"/>
          <w:lang w:eastAsia="zh-CN"/>
        </w:rPr>
      </w:pPr>
      <w:r>
        <w:rPr>
          <w:rFonts w:ascii="Times New Roman" w:hAnsi="Times New Roman" w:eastAsia="宋体"/>
          <w:b/>
          <w:sz w:val="24"/>
          <w:szCs w:val="24"/>
          <w:highlight w:val="none"/>
          <w:lang w:eastAsia="zh-CN"/>
        </w:rPr>
        <w:t>8.2.2</w:t>
      </w:r>
      <w:r>
        <w:rPr>
          <w:rFonts w:ascii="Times New Roman" w:hAnsi="Times New Roman" w:eastAsia="宋体"/>
          <w:sz w:val="24"/>
          <w:szCs w:val="24"/>
          <w:highlight w:val="none"/>
          <w:lang w:eastAsia="zh-CN"/>
        </w:rPr>
        <w:t>委托人审查</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成果文件的期限要求：</w:t>
      </w:r>
      <w:r>
        <w:rPr>
          <w:rFonts w:hint="eastAsia" w:ascii="Times New Roman" w:hAnsi="Times New Roman" w:eastAsia="宋体"/>
          <w:spacing w:val="1"/>
          <w:sz w:val="24"/>
          <w:szCs w:val="24"/>
          <w:highlight w:val="none"/>
          <w:u w:val="single"/>
          <w:lang w:eastAsia="zh-CN"/>
        </w:rPr>
        <w:t>/</w:t>
      </w:r>
    </w:p>
    <w:p>
      <w:pPr>
        <w:pStyle w:val="122"/>
        <w:spacing w:before="0" w:after="0" w:line="440" w:lineRule="atLeast"/>
        <w:ind w:firstLine="482" w:firstLineChars="200"/>
        <w:rPr>
          <w:rFonts w:ascii="Times New Roman" w:hAnsi="Times New Roman" w:eastAsia="宋体"/>
          <w:spacing w:val="1"/>
          <w:sz w:val="24"/>
          <w:szCs w:val="24"/>
          <w:highlight w:val="none"/>
          <w:u w:val="single"/>
          <w:lang w:eastAsia="zh-CN"/>
        </w:rPr>
      </w:pPr>
      <w:r>
        <w:rPr>
          <w:rFonts w:ascii="Times New Roman" w:hAnsi="Times New Roman" w:eastAsia="宋体"/>
          <w:b/>
          <w:sz w:val="24"/>
          <w:szCs w:val="24"/>
          <w:highlight w:val="none"/>
          <w:lang w:eastAsia="zh-CN"/>
        </w:rPr>
        <w:t>8.2.3</w:t>
      </w:r>
      <w:r>
        <w:rPr>
          <w:rFonts w:hint="eastAsia" w:ascii="Times New Roman" w:hAnsi="Times New Roman" w:eastAsia="宋体"/>
          <w:sz w:val="24"/>
          <w:szCs w:val="24"/>
          <w:highlight w:val="none"/>
          <w:lang w:eastAsia="zh-CN"/>
        </w:rPr>
        <w:t>服务成果文件是否经审查机构审查：</w:t>
      </w:r>
      <w:r>
        <w:rPr>
          <w:rFonts w:hint="eastAsia" w:ascii="Times New Roman" w:hAnsi="Times New Roman" w:eastAsia="宋体"/>
          <w:spacing w:val="1"/>
          <w:sz w:val="24"/>
          <w:szCs w:val="24"/>
          <w:highlight w:val="none"/>
          <w:u w:val="single"/>
          <w:lang w:eastAsia="zh-CN"/>
        </w:rPr>
        <w:t>/</w:t>
      </w:r>
    </w:p>
    <w:p>
      <w:pPr>
        <w:pStyle w:val="122"/>
        <w:spacing w:before="0" w:after="0" w:line="440" w:lineRule="atLeast"/>
        <w:ind w:firstLine="480" w:firstLineChars="200"/>
        <w:rPr>
          <w:rFonts w:ascii="Times New Roman" w:hAnsi="Times New Roman" w:eastAsia="宋体"/>
          <w:sz w:val="24"/>
          <w:szCs w:val="24"/>
          <w:highlight w:val="none"/>
          <w:u w:val="single"/>
          <w:lang w:eastAsia="zh-CN"/>
        </w:rPr>
      </w:pPr>
      <w:r>
        <w:rPr>
          <w:rFonts w:hint="eastAsia" w:ascii="Times New Roman" w:hAnsi="Times New Roman" w:eastAsia="宋体"/>
          <w:sz w:val="24"/>
          <w:szCs w:val="24"/>
          <w:highlight w:val="none"/>
          <w:lang w:eastAsia="zh-CN"/>
        </w:rPr>
        <w:t>审查机构的名称：</w:t>
      </w:r>
      <w:r>
        <w:rPr>
          <w:rFonts w:hint="eastAsia" w:ascii="Times New Roman" w:hAnsi="Times New Roman" w:eastAsia="宋体"/>
          <w:spacing w:val="1"/>
          <w:sz w:val="24"/>
          <w:szCs w:val="24"/>
          <w:highlight w:val="none"/>
          <w:u w:val="single"/>
          <w:lang w:eastAsia="zh-CN"/>
        </w:rPr>
        <w:t>/</w:t>
      </w:r>
      <w:r>
        <w:rPr>
          <w:rFonts w:ascii="Times New Roman" w:hAnsi="Times New Roman" w:eastAsia="宋体"/>
          <w:sz w:val="24"/>
          <w:szCs w:val="24"/>
          <w:highlight w:val="none"/>
          <w:u w:val="single"/>
          <w:lang w:eastAsia="zh-CN"/>
        </w:rPr>
        <w:t xml:space="preserve"> </w:t>
      </w:r>
    </w:p>
    <w:p>
      <w:pPr>
        <w:pStyle w:val="107"/>
        <w:spacing w:before="260" w:after="260" w:line="440" w:lineRule="atLeast"/>
        <w:rPr>
          <w:rFonts w:ascii="Times New Roman" w:hAnsi="Times New Roman" w:eastAsia="黑体"/>
          <w:b/>
          <w:spacing w:val="1"/>
          <w:sz w:val="32"/>
          <w:szCs w:val="32"/>
          <w:highlight w:val="none"/>
          <w:lang w:eastAsia="zh-CN"/>
        </w:rPr>
      </w:pPr>
      <w:r>
        <w:rPr>
          <w:rFonts w:ascii="Times New Roman" w:hAnsi="Times New Roman" w:eastAsia="黑体"/>
          <w:b/>
          <w:spacing w:val="1"/>
          <w:sz w:val="32"/>
          <w:szCs w:val="32"/>
          <w:highlight w:val="none"/>
          <w:lang w:eastAsia="zh-CN"/>
        </w:rPr>
        <w:t xml:space="preserve">10. </w:t>
      </w:r>
      <w:r>
        <w:rPr>
          <w:rFonts w:hint="eastAsia" w:ascii="Times New Roman" w:hAnsi="Times New Roman" w:eastAsia="黑体"/>
          <w:b/>
          <w:spacing w:val="1"/>
          <w:sz w:val="32"/>
          <w:szCs w:val="32"/>
          <w:highlight w:val="none"/>
          <w:lang w:eastAsia="zh-CN"/>
        </w:rPr>
        <w:t>施工期间配合</w:t>
      </w:r>
    </w:p>
    <w:p>
      <w:pPr>
        <w:pStyle w:val="122"/>
        <w:spacing w:line="440" w:lineRule="atLeast"/>
        <w:ind w:firstLine="480" w:firstLineChars="200"/>
        <w:rPr>
          <w:rFonts w:ascii="Times New Roman" w:hAnsi="Times New Roman" w:eastAsia="宋体"/>
          <w:sz w:val="24"/>
          <w:szCs w:val="24"/>
          <w:highlight w:val="none"/>
          <w:u w:val="single"/>
          <w:lang w:eastAsia="zh-CN"/>
        </w:rPr>
      </w:pPr>
      <w:r>
        <w:rPr>
          <w:rFonts w:hint="eastAsia" w:ascii="Times New Roman" w:hAnsi="Times New Roman" w:eastAsia="宋体"/>
          <w:sz w:val="24"/>
          <w:szCs w:val="24"/>
          <w:highlight w:val="none"/>
          <w:u w:val="single"/>
          <w:lang w:eastAsia="zh-CN"/>
        </w:rPr>
        <w:t>1</w:t>
      </w:r>
      <w:r>
        <w:rPr>
          <w:rFonts w:ascii="Times New Roman" w:hAnsi="Times New Roman" w:eastAsia="宋体"/>
          <w:sz w:val="24"/>
          <w:szCs w:val="24"/>
          <w:highlight w:val="none"/>
          <w:u w:val="single"/>
          <w:lang w:eastAsia="zh-CN"/>
        </w:rPr>
        <w:t>0.2</w:t>
      </w:r>
      <w:r>
        <w:rPr>
          <w:rFonts w:hint="eastAsia" w:ascii="Times New Roman" w:hAnsi="Times New Roman" w:eastAsia="宋体"/>
          <w:sz w:val="24"/>
          <w:szCs w:val="24"/>
          <w:highlight w:val="none"/>
          <w:u w:val="single"/>
          <w:lang w:eastAsia="zh-CN"/>
        </w:rPr>
        <w:t>修改为：委托人不提供办公房间、办公桌椅、互联网接口、冷暖设施、生活设施、进出现场交通服务和其他便利条件。</w:t>
      </w:r>
    </w:p>
    <w:p>
      <w:pPr>
        <w:pStyle w:val="107"/>
        <w:spacing w:before="260" w:after="260" w:line="440" w:lineRule="atLeast"/>
        <w:rPr>
          <w:rFonts w:ascii="Times New Roman" w:hAnsi="Times New Roman" w:eastAsia="黑体"/>
          <w:b/>
          <w:spacing w:val="1"/>
          <w:sz w:val="32"/>
          <w:szCs w:val="32"/>
          <w:highlight w:val="none"/>
          <w:lang w:eastAsia="zh-CN"/>
        </w:rPr>
      </w:pPr>
      <w:bookmarkStart w:id="806" w:name="_Toc513817623"/>
      <w:bookmarkStart w:id="807" w:name="_Toc508201386"/>
      <w:bookmarkStart w:id="808" w:name="_Toc508200448"/>
      <w:bookmarkStart w:id="809" w:name="_Toc25982"/>
      <w:bookmarkStart w:id="810" w:name="_Toc23415"/>
      <w:bookmarkStart w:id="811" w:name="_Toc506006170"/>
      <w:r>
        <w:rPr>
          <w:rFonts w:ascii="Times New Roman" w:hAnsi="Times New Roman" w:eastAsia="黑体"/>
          <w:b/>
          <w:spacing w:val="1"/>
          <w:sz w:val="32"/>
          <w:szCs w:val="32"/>
          <w:highlight w:val="none"/>
          <w:lang w:eastAsia="zh-CN"/>
        </w:rPr>
        <w:t>11. 合同变更</w:t>
      </w:r>
      <w:bookmarkEnd w:id="806"/>
      <w:bookmarkEnd w:id="807"/>
      <w:bookmarkEnd w:id="808"/>
      <w:bookmarkEnd w:id="809"/>
      <w:bookmarkEnd w:id="810"/>
      <w:bookmarkEnd w:id="811"/>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812" w:name="_Toc12312"/>
      <w:bookmarkStart w:id="813" w:name="_Toc508201387"/>
      <w:bookmarkStart w:id="814" w:name="_Toc506006171"/>
      <w:bookmarkStart w:id="815" w:name="_Toc508200449"/>
      <w:bookmarkStart w:id="816" w:name="_Toc15626"/>
      <w:r>
        <w:rPr>
          <w:rFonts w:ascii="Times New Roman" w:hAnsi="Times New Roman" w:eastAsia="黑体"/>
          <w:sz w:val="28"/>
          <w:szCs w:val="21"/>
          <w:highlight w:val="none"/>
          <w:lang w:eastAsia="zh-CN"/>
        </w:rPr>
        <w:t>11.1 变更情形</w:t>
      </w:r>
      <w:bookmarkEnd w:id="812"/>
      <w:bookmarkEnd w:id="813"/>
      <w:bookmarkEnd w:id="814"/>
      <w:bookmarkEnd w:id="815"/>
      <w:bookmarkEnd w:id="816"/>
    </w:p>
    <w:p>
      <w:pPr>
        <w:pStyle w:val="124"/>
        <w:spacing w:before="0" w:after="0" w:line="440" w:lineRule="atLeast"/>
        <w:ind w:firstLine="482" w:firstLineChars="200"/>
        <w:rPr>
          <w:rFonts w:ascii="Times New Roman" w:hAnsi="Times New Roman" w:eastAsia="宋体"/>
          <w:sz w:val="24"/>
          <w:szCs w:val="24"/>
          <w:highlight w:val="none"/>
          <w:lang w:eastAsia="zh-CN"/>
        </w:rPr>
      </w:pPr>
      <w:r>
        <w:rPr>
          <w:rFonts w:ascii="Times New Roman" w:hAnsi="Times New Roman" w:eastAsia="宋体"/>
          <w:b/>
          <w:sz w:val="24"/>
          <w:szCs w:val="24"/>
          <w:highlight w:val="none"/>
          <w:lang w:eastAsia="zh-CN"/>
        </w:rPr>
        <w:t>11.1.1</w:t>
      </w:r>
      <w:r>
        <w:rPr>
          <w:rFonts w:ascii="Times New Roman" w:hAnsi="Times New Roman" w:eastAsia="宋体"/>
          <w:spacing w:val="-1"/>
          <w:sz w:val="24"/>
          <w:szCs w:val="24"/>
          <w:highlight w:val="none"/>
          <w:lang w:eastAsia="zh-CN"/>
        </w:rPr>
        <w:t>双方协商一致后进行</w:t>
      </w:r>
      <w:r>
        <w:rPr>
          <w:rFonts w:ascii="Times New Roman" w:hAnsi="Times New Roman" w:eastAsia="宋体"/>
          <w:sz w:val="24"/>
          <w:szCs w:val="24"/>
          <w:highlight w:val="none"/>
          <w:lang w:eastAsia="zh-CN"/>
        </w:rPr>
        <w:t>变更，</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期限和</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费用的调整方法：</w:t>
      </w:r>
      <w:r>
        <w:rPr>
          <w:rFonts w:hint="eastAsia" w:ascii="Times New Roman" w:hAnsi="Times New Roman" w:eastAsia="宋体"/>
          <w:spacing w:val="1"/>
          <w:sz w:val="24"/>
          <w:szCs w:val="24"/>
          <w:highlight w:val="none"/>
          <w:u w:val="single"/>
          <w:lang w:eastAsia="zh-CN"/>
        </w:rPr>
        <w:t>不调整</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817" w:name="_Toc508200450"/>
      <w:bookmarkStart w:id="818" w:name="_Toc30135"/>
      <w:bookmarkStart w:id="819" w:name="_Toc506006172"/>
      <w:bookmarkStart w:id="820" w:name="_Toc2010"/>
      <w:bookmarkStart w:id="821" w:name="_Toc508201388"/>
      <w:r>
        <w:rPr>
          <w:rFonts w:ascii="Times New Roman" w:hAnsi="Times New Roman" w:eastAsia="黑体"/>
          <w:sz w:val="28"/>
          <w:szCs w:val="21"/>
          <w:highlight w:val="none"/>
          <w:lang w:eastAsia="zh-CN"/>
        </w:rPr>
        <w:t>11.2 合理化建议</w:t>
      </w:r>
      <w:bookmarkEnd w:id="817"/>
      <w:bookmarkEnd w:id="818"/>
      <w:bookmarkEnd w:id="819"/>
      <w:bookmarkEnd w:id="820"/>
      <w:bookmarkEnd w:id="821"/>
    </w:p>
    <w:p>
      <w:pPr>
        <w:pStyle w:val="125"/>
        <w:spacing w:before="0" w:after="0" w:line="440" w:lineRule="atLeast"/>
        <w:ind w:firstLine="482" w:firstLineChars="200"/>
        <w:rPr>
          <w:rFonts w:ascii="Times New Roman" w:hAnsi="Times New Roman" w:eastAsia="宋体"/>
          <w:sz w:val="24"/>
          <w:szCs w:val="24"/>
          <w:highlight w:val="none"/>
          <w:u w:val="single"/>
          <w:lang w:eastAsia="zh-CN"/>
        </w:rPr>
      </w:pPr>
      <w:r>
        <w:rPr>
          <w:rFonts w:ascii="Times New Roman" w:hAnsi="Times New Roman" w:eastAsia="宋体"/>
          <w:b/>
          <w:sz w:val="24"/>
          <w:szCs w:val="24"/>
          <w:highlight w:val="none"/>
          <w:lang w:eastAsia="zh-CN"/>
        </w:rPr>
        <w:t>11.2.2</w:t>
      </w:r>
      <w:r>
        <w:rPr>
          <w:rFonts w:ascii="Times New Roman" w:hAnsi="Times New Roman" w:eastAsia="宋体"/>
          <w:sz w:val="24"/>
          <w:szCs w:val="24"/>
          <w:highlight w:val="none"/>
          <w:lang w:eastAsia="zh-CN"/>
        </w:rPr>
        <w:t>委托人给予的奖励：</w:t>
      </w:r>
      <w:r>
        <w:rPr>
          <w:rFonts w:hint="eastAsia" w:ascii="Times New Roman" w:hAnsi="Times New Roman" w:eastAsia="宋体"/>
          <w:sz w:val="24"/>
          <w:szCs w:val="24"/>
          <w:highlight w:val="none"/>
          <w:u w:val="single"/>
          <w:lang w:eastAsia="zh-CN"/>
        </w:rPr>
        <w:t>不另给予奖励</w:t>
      </w:r>
    </w:p>
    <w:p>
      <w:pPr>
        <w:pStyle w:val="107"/>
        <w:spacing w:before="260" w:after="260" w:line="440" w:lineRule="atLeast"/>
        <w:rPr>
          <w:rFonts w:ascii="Times New Roman" w:hAnsi="Times New Roman" w:eastAsia="黑体"/>
          <w:b/>
          <w:spacing w:val="1"/>
          <w:sz w:val="32"/>
          <w:szCs w:val="32"/>
          <w:highlight w:val="none"/>
          <w:lang w:eastAsia="zh-CN"/>
        </w:rPr>
      </w:pPr>
      <w:bookmarkStart w:id="822" w:name="_Toc19142"/>
      <w:bookmarkStart w:id="823" w:name="_Toc508201389"/>
      <w:bookmarkStart w:id="824" w:name="_Toc513817624"/>
      <w:bookmarkStart w:id="825" w:name="_Toc506006173"/>
      <w:bookmarkStart w:id="826" w:name="_Toc508200451"/>
      <w:bookmarkStart w:id="827" w:name="_Toc31551"/>
      <w:r>
        <w:rPr>
          <w:rFonts w:ascii="Times New Roman" w:hAnsi="Times New Roman" w:eastAsia="黑体"/>
          <w:b/>
          <w:spacing w:val="1"/>
          <w:sz w:val="32"/>
          <w:szCs w:val="32"/>
          <w:highlight w:val="none"/>
          <w:lang w:eastAsia="zh-CN"/>
        </w:rPr>
        <w:t>12. 合同价格与支付</w:t>
      </w:r>
      <w:bookmarkEnd w:id="822"/>
      <w:bookmarkEnd w:id="823"/>
      <w:bookmarkEnd w:id="824"/>
      <w:bookmarkEnd w:id="825"/>
      <w:bookmarkEnd w:id="826"/>
      <w:bookmarkEnd w:id="827"/>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828" w:name="_Toc506006174"/>
      <w:bookmarkStart w:id="829" w:name="_Toc508201390"/>
      <w:bookmarkStart w:id="830" w:name="_Toc18564"/>
      <w:bookmarkStart w:id="831" w:name="_Toc508200452"/>
      <w:bookmarkStart w:id="832" w:name="_Toc3334"/>
      <w:r>
        <w:rPr>
          <w:rFonts w:ascii="Times New Roman" w:hAnsi="Times New Roman" w:eastAsia="黑体"/>
          <w:sz w:val="28"/>
          <w:szCs w:val="21"/>
          <w:highlight w:val="none"/>
          <w:lang w:eastAsia="zh-CN"/>
        </w:rPr>
        <w:t>12.1 合同价格</w:t>
      </w:r>
      <w:bookmarkEnd w:id="828"/>
      <w:bookmarkEnd w:id="829"/>
      <w:bookmarkEnd w:id="830"/>
      <w:bookmarkEnd w:id="831"/>
      <w:bookmarkEnd w:id="832"/>
    </w:p>
    <w:p>
      <w:pPr>
        <w:pStyle w:val="11"/>
        <w:spacing w:line="440" w:lineRule="atLeast"/>
        <w:ind w:firstLine="482" w:firstLineChars="200"/>
        <w:jc w:val="both"/>
        <w:rPr>
          <w:sz w:val="24"/>
          <w:highlight w:val="none"/>
          <w:u w:val="single"/>
        </w:rPr>
      </w:pPr>
      <w:r>
        <w:rPr>
          <w:b/>
          <w:sz w:val="24"/>
          <w:highlight w:val="none"/>
        </w:rPr>
        <w:t xml:space="preserve">12.1.1 </w:t>
      </w:r>
      <w:r>
        <w:rPr>
          <w:sz w:val="24"/>
          <w:highlight w:val="none"/>
        </w:rPr>
        <w:t>本合同价款确定方式：</w:t>
      </w:r>
      <w:r>
        <w:rPr>
          <w:rFonts w:hint="eastAsia"/>
          <w:spacing w:val="1"/>
          <w:sz w:val="24"/>
          <w:highlight w:val="none"/>
          <w:u w:val="single"/>
        </w:rPr>
        <w:t>固定总价</w:t>
      </w:r>
    </w:p>
    <w:p>
      <w:pPr>
        <w:pStyle w:val="11"/>
        <w:spacing w:line="440" w:lineRule="atLeast"/>
        <w:ind w:firstLine="480" w:firstLineChars="200"/>
        <w:jc w:val="both"/>
        <w:rPr>
          <w:sz w:val="24"/>
          <w:highlight w:val="none"/>
          <w:u w:val="single"/>
        </w:rPr>
      </w:pPr>
      <w:r>
        <w:rPr>
          <w:sz w:val="24"/>
          <w:highlight w:val="none"/>
        </w:rPr>
        <w:t>调整方式：</w:t>
      </w:r>
      <w:r>
        <w:rPr>
          <w:rFonts w:hint="eastAsia"/>
          <w:spacing w:val="1"/>
          <w:sz w:val="24"/>
          <w:highlight w:val="none"/>
          <w:u w:val="single"/>
        </w:rPr>
        <w:t>不调整</w:t>
      </w:r>
    </w:p>
    <w:p>
      <w:pPr>
        <w:pStyle w:val="11"/>
        <w:spacing w:line="440" w:lineRule="atLeast"/>
        <w:ind w:firstLine="480" w:firstLineChars="200"/>
        <w:jc w:val="both"/>
        <w:rPr>
          <w:sz w:val="24"/>
          <w:highlight w:val="none"/>
          <w:u w:val="single"/>
        </w:rPr>
      </w:pPr>
      <w:r>
        <w:rPr>
          <w:sz w:val="24"/>
          <w:highlight w:val="none"/>
        </w:rPr>
        <w:t>风险范围划分：</w:t>
      </w:r>
      <w:r>
        <w:rPr>
          <w:rFonts w:hint="eastAsia"/>
          <w:spacing w:val="1"/>
          <w:sz w:val="24"/>
          <w:highlight w:val="none"/>
          <w:u w:val="single"/>
        </w:rPr>
        <w:t>服务人承担合同范围内的全部风险</w:t>
      </w:r>
    </w:p>
    <w:p>
      <w:pPr>
        <w:pStyle w:val="11"/>
        <w:spacing w:line="440" w:lineRule="atLeast"/>
        <w:ind w:firstLine="482" w:firstLineChars="200"/>
        <w:jc w:val="both"/>
        <w:rPr>
          <w:sz w:val="24"/>
          <w:highlight w:val="none"/>
          <w:u w:val="single"/>
        </w:rPr>
      </w:pPr>
      <w:r>
        <w:rPr>
          <w:b/>
          <w:kern w:val="0"/>
          <w:sz w:val="24"/>
          <w:highlight w:val="none"/>
        </w:rPr>
        <w:t xml:space="preserve">12.1.3 </w:t>
      </w:r>
      <w:r>
        <w:rPr>
          <w:sz w:val="24"/>
          <w:highlight w:val="none"/>
        </w:rPr>
        <w:t>合同价格包括内容：</w:t>
      </w:r>
      <w:r>
        <w:rPr>
          <w:rFonts w:hint="eastAsia"/>
          <w:spacing w:val="1"/>
          <w:sz w:val="24"/>
          <w:highlight w:val="none"/>
          <w:u w:val="single"/>
        </w:rPr>
        <w:t>监测服务费包含服务人为完成本合同监测任务，并通过审查部门审批等所需的全部经费及服务人应得报酬（包含但不限于服务人报酬、监测设备、资料收集、现场踏勘、与相关职能部门沟通联系、征求意见、专家论证评审、会议评审、验收评估等所有相关费用）。除本合同价款以外委托人不再向服务人支付其他任何费用。</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833" w:name="_Toc506006175"/>
      <w:bookmarkStart w:id="834" w:name="_Toc508200453"/>
      <w:bookmarkStart w:id="835" w:name="_Toc508201391"/>
      <w:bookmarkStart w:id="836" w:name="_Toc19574"/>
      <w:bookmarkStart w:id="837" w:name="_Toc7550"/>
      <w:r>
        <w:rPr>
          <w:rFonts w:ascii="Times New Roman" w:hAnsi="Times New Roman" w:eastAsia="黑体"/>
          <w:sz w:val="28"/>
          <w:szCs w:val="21"/>
          <w:highlight w:val="none"/>
          <w:lang w:eastAsia="zh-CN"/>
        </w:rPr>
        <w:t>12.2 定金或预付款</w:t>
      </w:r>
      <w:bookmarkEnd w:id="833"/>
      <w:bookmarkEnd w:id="834"/>
      <w:bookmarkEnd w:id="835"/>
      <w:bookmarkEnd w:id="836"/>
      <w:bookmarkEnd w:id="837"/>
    </w:p>
    <w:p>
      <w:pPr>
        <w:pStyle w:val="127"/>
        <w:spacing w:before="0" w:after="0" w:line="440" w:lineRule="atLeast"/>
        <w:ind w:firstLine="480" w:firstLineChars="200"/>
        <w:rPr>
          <w:rFonts w:ascii="Times New Roman" w:hAnsi="Times New Roman"/>
          <w:sz w:val="24"/>
          <w:szCs w:val="24"/>
          <w:highlight w:val="none"/>
          <w:u w:val="single"/>
          <w:lang w:eastAsia="zh-CN"/>
        </w:rPr>
      </w:pPr>
      <w:r>
        <w:rPr>
          <w:rFonts w:ascii="Times New Roman" w:hAnsi="Times New Roman"/>
          <w:b/>
          <w:sz w:val="24"/>
          <w:szCs w:val="24"/>
          <w:highlight w:val="none"/>
          <w:lang w:eastAsia="zh-CN"/>
        </w:rPr>
        <w:t>12.2.1</w:t>
      </w:r>
      <w:r>
        <w:rPr>
          <w:rFonts w:hint="eastAsia" w:ascii="微软雅黑" w:hAnsi="微软雅黑" w:eastAsia="微软雅黑" w:cs="微软雅黑"/>
          <w:sz w:val="24"/>
          <w:szCs w:val="24"/>
          <w:highlight w:val="none"/>
          <w:lang w:eastAsia="zh-CN"/>
        </w:rPr>
        <w:t>委托人向服务人支付</w:t>
      </w:r>
      <w:r>
        <w:rPr>
          <w:rFonts w:ascii="Times New Roman" w:hAnsi="Times New Roman" w:eastAsia="宋体"/>
          <w:spacing w:val="1"/>
          <w:sz w:val="24"/>
          <w:szCs w:val="24"/>
          <w:highlight w:val="none"/>
          <w:lang w:eastAsia="zh-CN"/>
        </w:rPr>
        <w:t>定金或预付款的额度</w:t>
      </w:r>
      <w:r>
        <w:rPr>
          <w:rFonts w:hint="eastAsia" w:ascii="微软雅黑" w:hAnsi="微软雅黑" w:eastAsia="微软雅黑" w:cs="微软雅黑"/>
          <w:spacing w:val="1"/>
          <w:sz w:val="24"/>
          <w:szCs w:val="24"/>
          <w:highlight w:val="none"/>
          <w:lang w:eastAsia="zh-CN"/>
        </w:rPr>
        <w:t>：</w:t>
      </w:r>
      <w:r>
        <w:rPr>
          <w:rFonts w:asciiTheme="minorEastAsia" w:hAnsiTheme="minorEastAsia" w:eastAsiaTheme="minorEastAsia"/>
          <w:spacing w:val="1"/>
          <w:sz w:val="24"/>
          <w:szCs w:val="24"/>
          <w:highlight w:val="none"/>
          <w:u w:val="single"/>
          <w:lang w:eastAsia="zh-CN"/>
        </w:rPr>
        <w:t xml:space="preserve"> _/_</w:t>
      </w:r>
    </w:p>
    <w:p>
      <w:pPr>
        <w:pStyle w:val="127"/>
        <w:spacing w:before="0" w:after="0" w:line="440" w:lineRule="atLeast"/>
        <w:ind w:firstLine="484" w:firstLineChars="200"/>
        <w:rPr>
          <w:rFonts w:asciiTheme="minorEastAsia" w:hAnsiTheme="minorEastAsia" w:eastAsiaTheme="minorEastAsia"/>
          <w:sz w:val="24"/>
          <w:szCs w:val="24"/>
          <w:highlight w:val="none"/>
          <w:u w:val="single"/>
          <w:lang w:eastAsia="zh-CN"/>
        </w:rPr>
      </w:pPr>
      <w:r>
        <w:rPr>
          <w:rFonts w:hint="eastAsia" w:asciiTheme="minorEastAsia" w:hAnsiTheme="minorEastAsia" w:eastAsiaTheme="minorEastAsia"/>
          <w:spacing w:val="1"/>
          <w:sz w:val="24"/>
          <w:szCs w:val="24"/>
          <w:highlight w:val="none"/>
          <w:lang w:eastAsia="zh-CN"/>
        </w:rPr>
        <w:t>定金或预付款</w:t>
      </w:r>
      <w:r>
        <w:rPr>
          <w:rFonts w:hint="eastAsia" w:cs="微软雅黑" w:asciiTheme="minorEastAsia" w:hAnsiTheme="minorEastAsia" w:eastAsiaTheme="minorEastAsia"/>
          <w:sz w:val="24"/>
          <w:szCs w:val="24"/>
          <w:highlight w:val="none"/>
          <w:lang w:eastAsia="zh-CN"/>
        </w:rPr>
        <w:t>支付方式：</w:t>
      </w:r>
      <w:r>
        <w:rPr>
          <w:rFonts w:asciiTheme="minorEastAsia" w:hAnsiTheme="minorEastAsia" w:eastAsiaTheme="minorEastAsia"/>
          <w:spacing w:val="1"/>
          <w:sz w:val="24"/>
          <w:szCs w:val="24"/>
          <w:highlight w:val="none"/>
          <w:lang w:eastAsia="zh-CN"/>
        </w:rPr>
        <w:t>_</w:t>
      </w:r>
      <w:r>
        <w:rPr>
          <w:rFonts w:asciiTheme="minorEastAsia" w:hAnsiTheme="minorEastAsia" w:eastAsiaTheme="minorEastAsia"/>
          <w:spacing w:val="1"/>
          <w:sz w:val="24"/>
          <w:szCs w:val="24"/>
          <w:highlight w:val="none"/>
          <w:u w:val="single"/>
          <w:lang w:eastAsia="zh-CN"/>
        </w:rPr>
        <w:t>_/_</w:t>
      </w:r>
      <w:r>
        <w:rPr>
          <w:rFonts w:asciiTheme="minorEastAsia" w:hAnsiTheme="minorEastAsia" w:eastAsiaTheme="minorEastAsia"/>
          <w:spacing w:val="1"/>
          <w:sz w:val="24"/>
          <w:szCs w:val="24"/>
          <w:highlight w:val="none"/>
          <w:lang w:eastAsia="zh-CN"/>
        </w:rPr>
        <w:t>__</w:t>
      </w:r>
    </w:p>
    <w:p>
      <w:pPr>
        <w:pStyle w:val="127"/>
        <w:spacing w:before="0" w:after="0" w:line="440" w:lineRule="atLeast"/>
        <w:ind w:firstLine="484" w:firstLineChars="200"/>
        <w:rPr>
          <w:rFonts w:asciiTheme="minorEastAsia" w:hAnsiTheme="minorEastAsia" w:eastAsiaTheme="minorEastAsia"/>
          <w:sz w:val="24"/>
          <w:szCs w:val="24"/>
          <w:highlight w:val="none"/>
          <w:lang w:eastAsia="zh-CN"/>
        </w:rPr>
      </w:pPr>
      <w:r>
        <w:rPr>
          <w:rFonts w:hint="eastAsia" w:asciiTheme="minorEastAsia" w:hAnsiTheme="minorEastAsia" w:eastAsiaTheme="minorEastAsia"/>
          <w:spacing w:val="1"/>
          <w:sz w:val="24"/>
          <w:szCs w:val="24"/>
          <w:highlight w:val="none"/>
          <w:lang w:eastAsia="zh-CN"/>
        </w:rPr>
        <w:t>定金或预付款</w:t>
      </w:r>
      <w:r>
        <w:rPr>
          <w:rFonts w:hint="eastAsia" w:cs="微软雅黑" w:asciiTheme="minorEastAsia" w:hAnsiTheme="minorEastAsia" w:eastAsiaTheme="minorEastAsia"/>
          <w:sz w:val="24"/>
          <w:szCs w:val="24"/>
          <w:highlight w:val="none"/>
          <w:lang w:eastAsia="zh-CN"/>
        </w:rPr>
        <w:t>抵扣方式：</w:t>
      </w:r>
      <w:r>
        <w:rPr>
          <w:rFonts w:asciiTheme="minorEastAsia" w:hAnsiTheme="minorEastAsia" w:eastAsiaTheme="minorEastAsia"/>
          <w:spacing w:val="1"/>
          <w:sz w:val="24"/>
          <w:szCs w:val="24"/>
          <w:highlight w:val="none"/>
          <w:u w:val="single"/>
          <w:lang w:eastAsia="zh-CN"/>
        </w:rPr>
        <w:t>_/_</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838" w:name="_Toc11599"/>
      <w:bookmarkStart w:id="839" w:name="_Toc506006176"/>
      <w:bookmarkStart w:id="840" w:name="_Toc508200454"/>
      <w:bookmarkStart w:id="841" w:name="_Toc508201392"/>
      <w:bookmarkStart w:id="842" w:name="_Toc15778"/>
      <w:r>
        <w:rPr>
          <w:rFonts w:ascii="Times New Roman" w:hAnsi="Times New Roman" w:eastAsia="黑体"/>
          <w:sz w:val="28"/>
          <w:szCs w:val="21"/>
          <w:highlight w:val="none"/>
          <w:lang w:eastAsia="zh-CN"/>
        </w:rPr>
        <w:t>12.3 中期支付</w:t>
      </w:r>
      <w:bookmarkEnd w:id="838"/>
      <w:bookmarkEnd w:id="839"/>
      <w:bookmarkEnd w:id="840"/>
      <w:bookmarkEnd w:id="841"/>
      <w:bookmarkEnd w:id="842"/>
    </w:p>
    <w:p>
      <w:pPr>
        <w:pStyle w:val="128"/>
        <w:spacing w:before="0" w:after="0" w:line="440" w:lineRule="exact"/>
        <w:ind w:firstLine="480" w:firstLineChars="200"/>
        <w:rPr>
          <w:rFonts w:ascii="宋体" w:hAnsi="宋体" w:eastAsia="宋体"/>
          <w:spacing w:val="1"/>
          <w:sz w:val="24"/>
          <w:szCs w:val="24"/>
          <w:highlight w:val="none"/>
          <w:lang w:eastAsia="zh-CN"/>
        </w:rPr>
      </w:pPr>
      <w:r>
        <w:rPr>
          <w:rFonts w:ascii="Times New Roman" w:hAnsi="Times New Roman"/>
          <w:b/>
          <w:sz w:val="24"/>
          <w:szCs w:val="24"/>
          <w:highlight w:val="none"/>
          <w:lang w:eastAsia="zh-CN"/>
        </w:rPr>
        <w:t>12.3.1</w:t>
      </w:r>
      <w:r>
        <w:rPr>
          <w:rFonts w:hint="eastAsia" w:ascii="宋体" w:hAnsi="宋体" w:eastAsia="宋体"/>
          <w:spacing w:val="1"/>
          <w:sz w:val="24"/>
          <w:szCs w:val="24"/>
          <w:highlight w:val="none"/>
          <w:lang w:eastAsia="zh-CN"/>
        </w:rPr>
        <w:t>服务人</w:t>
      </w:r>
      <w:r>
        <w:rPr>
          <w:rFonts w:ascii="宋体" w:hAnsi="宋体" w:eastAsia="宋体"/>
          <w:spacing w:val="1"/>
          <w:sz w:val="24"/>
          <w:szCs w:val="24"/>
          <w:highlight w:val="none"/>
          <w:lang w:eastAsia="zh-CN"/>
        </w:rPr>
        <w:t>向委托人提交中期支付申请的格式要求及份数：</w:t>
      </w:r>
      <w:r>
        <w:rPr>
          <w:rFonts w:hint="eastAsia" w:ascii="宋体" w:hAnsi="宋体" w:eastAsia="宋体"/>
          <w:spacing w:val="1"/>
          <w:sz w:val="24"/>
          <w:szCs w:val="24"/>
          <w:highlight w:val="none"/>
          <w:lang w:eastAsia="zh-CN"/>
        </w:rPr>
        <w:t>服务人应在计量当年向委托人提交由其项目负责人签署的进度支付申请（一式五份），并附相应的支持性证明文件。服务人应在支付申请中填报如下内容：</w:t>
      </w:r>
    </w:p>
    <w:p>
      <w:pPr>
        <w:pStyle w:val="128"/>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 xml:space="preserve">（1）自开工截至本期末止已完成的工作量或者工作内容； </w:t>
      </w:r>
    </w:p>
    <w:p>
      <w:pPr>
        <w:pStyle w:val="128"/>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 xml:space="preserve">（2）本期完成的工作量或者工作内容； </w:t>
      </w:r>
    </w:p>
    <w:p>
      <w:pPr>
        <w:pStyle w:val="128"/>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 xml:space="preserve">（3）本期应支付的金额价款； </w:t>
      </w:r>
    </w:p>
    <w:p>
      <w:pPr>
        <w:pStyle w:val="128"/>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 xml:space="preserve">（4）根据合同规定，本期应扣除的其他款项； </w:t>
      </w:r>
    </w:p>
    <w:p>
      <w:pPr>
        <w:pStyle w:val="128"/>
        <w:spacing w:before="0" w:after="0" w:line="440" w:lineRule="exact"/>
        <w:ind w:firstLine="484" w:firstLineChars="200"/>
        <w:rPr>
          <w:rFonts w:ascii="宋体" w:hAnsi="宋体" w:eastAsia="宋体"/>
          <w:spacing w:val="1"/>
          <w:sz w:val="24"/>
          <w:szCs w:val="24"/>
          <w:highlight w:val="none"/>
          <w:u w:val="single"/>
          <w:lang w:eastAsia="zh-CN"/>
        </w:rPr>
      </w:pPr>
      <w:r>
        <w:rPr>
          <w:rFonts w:hint="eastAsia" w:ascii="宋体" w:hAnsi="宋体" w:eastAsia="宋体"/>
          <w:spacing w:val="1"/>
          <w:sz w:val="24"/>
          <w:szCs w:val="24"/>
          <w:highlight w:val="none"/>
          <w:u w:val="single"/>
          <w:lang w:eastAsia="zh-CN"/>
        </w:rPr>
        <w:t>（5）根据合同规定，本期应结算的其他款项。</w:t>
      </w:r>
      <w:r>
        <w:rPr>
          <w:rFonts w:ascii="宋体" w:hAnsi="宋体" w:eastAsia="宋体"/>
          <w:spacing w:val="1"/>
          <w:sz w:val="24"/>
          <w:szCs w:val="24"/>
          <w:highlight w:val="none"/>
          <w:u w:val="single"/>
          <w:lang w:eastAsia="zh-CN"/>
        </w:rPr>
        <w:t>_</w:t>
      </w:r>
    </w:p>
    <w:p>
      <w:pPr>
        <w:pStyle w:val="128"/>
        <w:spacing w:before="0" w:after="0" w:line="440" w:lineRule="exact"/>
        <w:ind w:firstLine="480" w:firstLineChars="200"/>
        <w:rPr>
          <w:rFonts w:ascii="Times New Roman" w:hAnsi="Times New Roman" w:eastAsia="宋体"/>
          <w:spacing w:val="1"/>
          <w:sz w:val="24"/>
          <w:szCs w:val="24"/>
          <w:highlight w:val="none"/>
          <w:lang w:eastAsia="zh-CN"/>
        </w:rPr>
      </w:pPr>
      <w:r>
        <w:rPr>
          <w:rFonts w:ascii="Times New Roman" w:hAnsi="Times New Roman"/>
          <w:b/>
          <w:sz w:val="24"/>
          <w:szCs w:val="24"/>
          <w:highlight w:val="none"/>
          <w:lang w:eastAsia="zh-CN"/>
        </w:rPr>
        <w:t xml:space="preserve">12.3.2 </w:t>
      </w:r>
      <w:r>
        <w:rPr>
          <w:rFonts w:ascii="Times New Roman" w:hAnsi="Times New Roman" w:eastAsia="宋体"/>
          <w:spacing w:val="1"/>
          <w:sz w:val="24"/>
          <w:szCs w:val="24"/>
          <w:highlight w:val="none"/>
          <w:lang w:eastAsia="zh-CN"/>
        </w:rPr>
        <w:t>委托人不按期支付的，支付逾期付款违约金的计算方法：</w:t>
      </w:r>
      <w:bookmarkStart w:id="843" w:name="_Hlk135151508"/>
      <w:r>
        <w:rPr>
          <w:rFonts w:hint="eastAsia" w:ascii="Times New Roman" w:hAnsi="Times New Roman" w:eastAsia="宋体"/>
          <w:spacing w:val="1"/>
          <w:sz w:val="24"/>
          <w:szCs w:val="24"/>
          <w:highlight w:val="none"/>
          <w:lang w:eastAsia="zh-CN"/>
        </w:rPr>
        <w:t>委托人在收到服务人提交的书面支付申请且服务人提交了合格的增值税专用发票后2</w:t>
      </w:r>
      <w:r>
        <w:rPr>
          <w:rFonts w:ascii="Times New Roman" w:hAnsi="Times New Roman" w:eastAsia="宋体"/>
          <w:spacing w:val="1"/>
          <w:sz w:val="24"/>
          <w:szCs w:val="24"/>
          <w:highlight w:val="none"/>
          <w:lang w:eastAsia="zh-CN"/>
        </w:rPr>
        <w:t>8</w:t>
      </w:r>
      <w:r>
        <w:rPr>
          <w:rFonts w:hint="eastAsia" w:ascii="Times New Roman" w:hAnsi="Times New Roman" w:eastAsia="宋体"/>
          <w:spacing w:val="1"/>
          <w:sz w:val="24"/>
          <w:szCs w:val="24"/>
          <w:highlight w:val="none"/>
          <w:lang w:eastAsia="zh-CN"/>
        </w:rPr>
        <w:t>天内，将应付款项支付给服务人；委托人未能在前述时间内完成审批或不予答复的，服务人予以谅解，不视为委托人同意费用结算申请。</w:t>
      </w:r>
    </w:p>
    <w:p>
      <w:pPr>
        <w:pStyle w:val="128"/>
        <w:spacing w:before="0" w:after="0" w:line="440" w:lineRule="exact"/>
        <w:ind w:firstLine="484" w:firstLineChars="200"/>
        <w:rPr>
          <w:rFonts w:ascii="Times New Roman" w:hAnsi="Times New Roman" w:eastAsia="宋体"/>
          <w:spacing w:val="1"/>
          <w:sz w:val="24"/>
          <w:szCs w:val="24"/>
          <w:highlight w:val="none"/>
          <w:lang w:eastAsia="zh-CN"/>
        </w:rPr>
      </w:pPr>
      <w:r>
        <w:rPr>
          <w:rFonts w:hint="eastAsia" w:ascii="Times New Roman" w:hAnsi="Times New Roman" w:eastAsia="宋体"/>
          <w:spacing w:val="1"/>
          <w:sz w:val="24"/>
          <w:szCs w:val="24"/>
          <w:highlight w:val="none"/>
          <w:lang w:eastAsia="zh-CN"/>
        </w:rPr>
        <w:t>支付逾期付款违约金。</w:t>
      </w:r>
      <w:r>
        <w:rPr>
          <w:rFonts w:hint="eastAsia" w:ascii="Times New Roman" w:hAnsi="Times New Roman" w:eastAsia="宋体"/>
          <w:spacing w:val="1"/>
          <w:sz w:val="24"/>
          <w:szCs w:val="24"/>
          <w:highlight w:val="none"/>
          <w:u w:val="single"/>
          <w:lang w:eastAsia="zh-CN"/>
        </w:rPr>
        <w:t>若委托人未在规定的期限内支付监测服务费，服务人自愿表示理解，放弃要求委托人支付逾期付款利息和任何违约金的权利。</w:t>
      </w:r>
      <w:bookmarkEnd w:id="843"/>
    </w:p>
    <w:p>
      <w:pPr>
        <w:pStyle w:val="126"/>
        <w:spacing w:before="0" w:after="0" w:line="440" w:lineRule="exact"/>
        <w:ind w:firstLine="480" w:firstLineChars="200"/>
        <w:rPr>
          <w:rFonts w:ascii="Times New Roman" w:hAnsi="Times New Roman" w:eastAsia="宋体"/>
          <w:spacing w:val="1"/>
          <w:sz w:val="24"/>
          <w:szCs w:val="24"/>
          <w:highlight w:val="none"/>
          <w:u w:val="single"/>
          <w:lang w:eastAsia="zh-CN"/>
        </w:rPr>
      </w:pPr>
      <w:r>
        <w:rPr>
          <w:rFonts w:ascii="Times New Roman" w:hAnsi="Times New Roman"/>
          <w:b/>
          <w:sz w:val="24"/>
          <w:szCs w:val="24"/>
          <w:highlight w:val="none"/>
          <w:lang w:eastAsia="zh-CN"/>
        </w:rPr>
        <w:t>12.3.3</w:t>
      </w:r>
      <w:r>
        <w:rPr>
          <w:rFonts w:ascii="Times New Roman" w:hAnsi="Times New Roman" w:eastAsia="宋体"/>
          <w:spacing w:val="1"/>
          <w:sz w:val="24"/>
          <w:szCs w:val="24"/>
          <w:highlight w:val="none"/>
          <w:lang w:eastAsia="zh-CN"/>
        </w:rPr>
        <w:t>中期支付涉及政府投资资金的相关约定：</w:t>
      </w:r>
      <w:r>
        <w:rPr>
          <w:rFonts w:hint="eastAsia" w:ascii="Times New Roman" w:hAnsi="Times New Roman" w:eastAsia="宋体"/>
          <w:spacing w:val="1"/>
          <w:sz w:val="24"/>
          <w:szCs w:val="24"/>
          <w:highlight w:val="none"/>
          <w:u w:val="single"/>
          <w:lang w:eastAsia="zh-CN"/>
        </w:rPr>
        <w:t>/</w:t>
      </w: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844" w:name="_Toc16321"/>
      <w:bookmarkStart w:id="845" w:name="_Toc22570"/>
      <w:bookmarkStart w:id="846" w:name="_Toc506006177"/>
      <w:bookmarkStart w:id="847" w:name="_Toc508201393"/>
      <w:bookmarkStart w:id="848" w:name="_Toc508200455"/>
      <w:r>
        <w:rPr>
          <w:rFonts w:ascii="Times New Roman" w:hAnsi="Times New Roman" w:eastAsia="黑体"/>
          <w:sz w:val="28"/>
          <w:szCs w:val="21"/>
          <w:highlight w:val="none"/>
          <w:lang w:eastAsia="zh-CN"/>
        </w:rPr>
        <w:t>12.4 费用结算</w:t>
      </w:r>
      <w:bookmarkEnd w:id="844"/>
      <w:bookmarkEnd w:id="845"/>
      <w:bookmarkEnd w:id="846"/>
      <w:bookmarkEnd w:id="847"/>
      <w:bookmarkEnd w:id="848"/>
    </w:p>
    <w:p>
      <w:pPr>
        <w:pStyle w:val="126"/>
        <w:spacing w:line="440" w:lineRule="atLeast"/>
        <w:ind w:firstLine="480" w:firstLineChars="200"/>
        <w:rPr>
          <w:rFonts w:ascii="Times New Roman" w:hAnsi="Times New Roman" w:eastAsia="宋体"/>
          <w:spacing w:val="1"/>
          <w:sz w:val="24"/>
          <w:szCs w:val="24"/>
          <w:highlight w:val="none"/>
          <w:lang w:eastAsia="zh-CN"/>
        </w:rPr>
      </w:pPr>
      <w:r>
        <w:rPr>
          <w:rFonts w:ascii="Times New Roman" w:hAnsi="Times New Roman"/>
          <w:b/>
          <w:sz w:val="24"/>
          <w:szCs w:val="24"/>
          <w:highlight w:val="none"/>
          <w:lang w:eastAsia="zh-CN"/>
        </w:rPr>
        <w:t xml:space="preserve">12.4.1 </w:t>
      </w:r>
      <w:r>
        <w:rPr>
          <w:rFonts w:ascii="Times New Roman" w:hAnsi="Times New Roman" w:eastAsia="宋体"/>
          <w:spacing w:val="1"/>
          <w:sz w:val="24"/>
          <w:szCs w:val="24"/>
          <w:highlight w:val="none"/>
          <w:lang w:eastAsia="zh-CN"/>
        </w:rPr>
        <w:t>合同工作完成后，</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向委托人提交</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费用结算申请的要求、份数和期限：</w:t>
      </w:r>
    </w:p>
    <w:p>
      <w:pPr>
        <w:pStyle w:val="126"/>
        <w:spacing w:line="440" w:lineRule="atLeas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环境监测：双方合同签订后，监测项目组进场并完成首份监测报告并审核通过后30个工作日内，委托人向服务人支付监测技术服务费用（合同含税总额）的20%。签订合同后第一年度支付监测技术服务费用（合同含税总额）的30%；第二年度支付监测技术服务费用（合同含税总额）的30%；工程完工并达到验收标准后，服务人完成监测总结报告（配合委托人向相关主管部门报送环保监测总结报告），并办理最终结算及最终清算协议后，委托人将剩余合同款项一次性支付给服务人。每次付款前，服务人须按结算金额向委托人开具符合委托人开票要求的增值税专用发票（税额6%）。</w:t>
      </w:r>
    </w:p>
    <w:p>
      <w:pPr>
        <w:pStyle w:val="126"/>
        <w:spacing w:before="0" w:after="0" w:line="440" w:lineRule="atLeast"/>
        <w:ind w:firstLine="484" w:firstLineChars="200"/>
        <w:rPr>
          <w:rFonts w:ascii="Times New Roman" w:hAnsi="Times New Roman" w:eastAsia="宋体"/>
          <w:spacing w:val="1"/>
          <w:sz w:val="24"/>
          <w:szCs w:val="24"/>
          <w:highlight w:val="none"/>
          <w:u w:val="single"/>
          <w:lang w:eastAsia="zh-CN"/>
        </w:rPr>
      </w:pPr>
      <w:r>
        <w:rPr>
          <w:rFonts w:hint="eastAsia" w:ascii="Times New Roman" w:hAnsi="Times New Roman" w:eastAsia="宋体"/>
          <w:spacing w:val="1"/>
          <w:sz w:val="24"/>
          <w:szCs w:val="24"/>
          <w:highlight w:val="none"/>
          <w:u w:val="single"/>
          <w:lang w:eastAsia="zh-CN"/>
        </w:rPr>
        <w:t>水土保持监测：项目组进场并完成首份监测报告并审核通过，支付该项目合同金额的20%；第一年末支付该项目合同金额的20%；第二年支付该项目合同金额的20%；第三年末支付该项目合同金额的20%；项目交工验收后支付至该项目合同金额的20%。</w:t>
      </w:r>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12.4.2</w:t>
      </w:r>
      <w:r>
        <w:rPr>
          <w:rFonts w:ascii="Times New Roman" w:hAnsi="Times New Roman" w:eastAsia="宋体"/>
          <w:spacing w:val="1"/>
          <w:sz w:val="24"/>
          <w:szCs w:val="24"/>
          <w:highlight w:val="none"/>
          <w:lang w:eastAsia="zh-CN"/>
        </w:rPr>
        <w:t>委托人不按期支付的，支付逾期付款违约金的计算方法：</w:t>
      </w:r>
      <w:r>
        <w:rPr>
          <w:rFonts w:hint="eastAsia" w:ascii="Times New Roman" w:hAnsi="Times New Roman" w:eastAsia="宋体"/>
          <w:spacing w:val="1"/>
          <w:sz w:val="24"/>
          <w:szCs w:val="24"/>
          <w:highlight w:val="none"/>
          <w:u w:val="single"/>
          <w:lang w:eastAsia="zh-CN"/>
        </w:rPr>
        <w:t>若委托人未在规定的期限内支付监测服务费，服务人自愿表示理解，放弃要求委托人支付逾期付款利息和任何违约金的权利。</w:t>
      </w:r>
    </w:p>
    <w:p>
      <w:pPr>
        <w:pStyle w:val="107"/>
        <w:spacing w:before="260" w:after="260" w:line="440" w:lineRule="atLeast"/>
        <w:rPr>
          <w:rFonts w:ascii="Times New Roman" w:hAnsi="Times New Roman" w:eastAsia="黑体"/>
          <w:b/>
          <w:spacing w:val="1"/>
          <w:sz w:val="32"/>
          <w:szCs w:val="32"/>
          <w:highlight w:val="none"/>
          <w:lang w:eastAsia="zh-CN"/>
        </w:rPr>
      </w:pPr>
      <w:bookmarkStart w:id="849" w:name="_Toc506006178"/>
      <w:bookmarkStart w:id="850" w:name="_Toc508201394"/>
      <w:bookmarkStart w:id="851" w:name="_Toc19503"/>
      <w:bookmarkStart w:id="852" w:name="_Toc508200456"/>
      <w:bookmarkStart w:id="853" w:name="_Toc29976"/>
      <w:bookmarkStart w:id="854" w:name="_Toc513817625"/>
      <w:r>
        <w:rPr>
          <w:rFonts w:ascii="Times New Roman" w:hAnsi="Times New Roman" w:eastAsia="黑体"/>
          <w:b/>
          <w:spacing w:val="1"/>
          <w:sz w:val="32"/>
          <w:szCs w:val="32"/>
          <w:highlight w:val="none"/>
          <w:lang w:eastAsia="zh-CN"/>
        </w:rPr>
        <w:t>13. 不可抗力</w:t>
      </w:r>
      <w:bookmarkEnd w:id="849"/>
      <w:bookmarkEnd w:id="850"/>
      <w:bookmarkEnd w:id="851"/>
      <w:bookmarkEnd w:id="852"/>
      <w:bookmarkEnd w:id="853"/>
      <w:bookmarkEnd w:id="854"/>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855" w:name="_Toc508201395"/>
      <w:bookmarkStart w:id="856" w:name="_Toc508200457"/>
      <w:bookmarkStart w:id="857" w:name="_Toc29889"/>
      <w:bookmarkStart w:id="858" w:name="_Toc32561"/>
      <w:bookmarkStart w:id="859" w:name="_Toc506006179"/>
      <w:r>
        <w:rPr>
          <w:rFonts w:ascii="Times New Roman" w:hAnsi="Times New Roman" w:eastAsia="黑体"/>
          <w:sz w:val="28"/>
          <w:szCs w:val="21"/>
          <w:highlight w:val="none"/>
          <w:lang w:eastAsia="zh-CN"/>
        </w:rPr>
        <w:t>13.1 不可抗力的确认</w:t>
      </w:r>
      <w:bookmarkEnd w:id="855"/>
      <w:bookmarkEnd w:id="856"/>
      <w:bookmarkEnd w:id="857"/>
      <w:bookmarkEnd w:id="858"/>
      <w:bookmarkEnd w:id="859"/>
    </w:p>
    <w:p>
      <w:pPr>
        <w:pStyle w:val="126"/>
        <w:spacing w:before="0" w:after="0" w:line="440" w:lineRule="atLeast"/>
        <w:ind w:firstLine="480" w:firstLineChars="200"/>
        <w:rPr>
          <w:rFonts w:ascii="Times New Roman" w:hAnsi="Times New Roman"/>
          <w:sz w:val="24"/>
          <w:szCs w:val="24"/>
          <w:highlight w:val="none"/>
          <w:lang w:eastAsia="zh-CN"/>
        </w:rPr>
      </w:pPr>
      <w:r>
        <w:rPr>
          <w:rFonts w:ascii="Times New Roman" w:hAnsi="Times New Roman"/>
          <w:b/>
          <w:sz w:val="24"/>
          <w:szCs w:val="24"/>
          <w:highlight w:val="none"/>
          <w:lang w:eastAsia="zh-CN"/>
        </w:rPr>
        <w:t>13.1.1</w:t>
      </w:r>
      <w:r>
        <w:rPr>
          <w:rFonts w:ascii="Times New Roman" w:hAnsi="Times New Roman" w:eastAsia="宋体"/>
          <w:spacing w:val="1"/>
          <w:sz w:val="24"/>
          <w:szCs w:val="24"/>
          <w:highlight w:val="none"/>
          <w:lang w:eastAsia="zh-CN"/>
        </w:rPr>
        <w:t>属于不可抗力的其他情形：</w:t>
      </w:r>
      <w:r>
        <w:rPr>
          <w:rFonts w:hint="eastAsia" w:ascii="Times New Roman" w:hAnsi="Times New Roman" w:eastAsia="宋体"/>
          <w:spacing w:val="1"/>
          <w:sz w:val="24"/>
          <w:szCs w:val="24"/>
          <w:highlight w:val="none"/>
          <w:u w:val="single"/>
          <w:lang w:eastAsia="zh-CN"/>
        </w:rPr>
        <w:t>/</w:t>
      </w:r>
    </w:p>
    <w:p>
      <w:pPr>
        <w:pStyle w:val="107"/>
        <w:spacing w:before="260" w:after="260" w:line="440" w:lineRule="atLeast"/>
        <w:rPr>
          <w:rFonts w:ascii="Times New Roman" w:hAnsi="Times New Roman" w:eastAsia="黑体"/>
          <w:b/>
          <w:spacing w:val="1"/>
          <w:sz w:val="32"/>
          <w:szCs w:val="32"/>
          <w:highlight w:val="none"/>
          <w:lang w:eastAsia="zh-CN"/>
        </w:rPr>
      </w:pPr>
      <w:bookmarkStart w:id="860" w:name="_Toc513817626"/>
      <w:bookmarkStart w:id="861" w:name="_Toc27452"/>
      <w:bookmarkStart w:id="862" w:name="_Toc9629"/>
      <w:bookmarkStart w:id="863" w:name="_Toc506006180"/>
      <w:bookmarkStart w:id="864" w:name="_Toc508200458"/>
      <w:bookmarkStart w:id="865" w:name="_Toc508201396"/>
      <w:r>
        <w:rPr>
          <w:rFonts w:ascii="Times New Roman" w:hAnsi="Times New Roman" w:eastAsia="黑体"/>
          <w:b/>
          <w:spacing w:val="1"/>
          <w:sz w:val="32"/>
          <w:szCs w:val="32"/>
          <w:highlight w:val="none"/>
          <w:lang w:eastAsia="zh-CN"/>
        </w:rPr>
        <w:t>15. 争议的解决</w:t>
      </w:r>
      <w:bookmarkEnd w:id="860"/>
      <w:bookmarkEnd w:id="861"/>
      <w:bookmarkEnd w:id="862"/>
      <w:bookmarkEnd w:id="863"/>
      <w:bookmarkEnd w:id="864"/>
      <w:bookmarkEnd w:id="865"/>
    </w:p>
    <w:p>
      <w:pPr>
        <w:pStyle w:val="129"/>
        <w:spacing w:before="0" w:after="0" w:line="440" w:lineRule="atLeast"/>
        <w:ind w:firstLine="484"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双方约定在履行合同过程中发生争议时，采取下列第</w:t>
      </w:r>
      <w:r>
        <w:rPr>
          <w:rFonts w:ascii="Times New Roman" w:hAnsi="Times New Roman" w:eastAsia="宋体"/>
          <w:spacing w:val="1"/>
          <w:sz w:val="24"/>
          <w:szCs w:val="24"/>
          <w:highlight w:val="none"/>
          <w:u w:val="single"/>
          <w:lang w:eastAsia="zh-CN"/>
        </w:rPr>
        <w:t xml:space="preserve"> 2 </w:t>
      </w:r>
      <w:r>
        <w:rPr>
          <w:rFonts w:ascii="Times New Roman" w:hAnsi="Times New Roman" w:eastAsia="宋体"/>
          <w:spacing w:val="1"/>
          <w:sz w:val="24"/>
          <w:szCs w:val="24"/>
          <w:highlight w:val="none"/>
          <w:lang w:eastAsia="zh-CN"/>
        </w:rPr>
        <w:t>种方式解决：</w:t>
      </w:r>
    </w:p>
    <w:p>
      <w:pPr>
        <w:pStyle w:val="129"/>
        <w:numPr>
          <w:ilvl w:val="0"/>
          <w:numId w:val="4"/>
        </w:numPr>
        <w:spacing w:before="0" w:after="0" w:line="440" w:lineRule="atLeast"/>
        <w:ind w:firstLine="484"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向</w:t>
      </w:r>
      <w:r>
        <w:rPr>
          <w:rFonts w:hint="eastAsia" w:ascii="Times New Roman" w:hAnsi="Times New Roman" w:eastAsia="宋体"/>
          <w:spacing w:val="1"/>
          <w:sz w:val="24"/>
          <w:szCs w:val="24"/>
          <w:highlight w:val="none"/>
          <w:u w:val="single"/>
          <w:lang w:eastAsia="zh-CN"/>
        </w:rPr>
        <w:t xml:space="preserve"> </w:t>
      </w:r>
      <w:r>
        <w:rPr>
          <w:rFonts w:ascii="Times New Roman" w:hAnsi="Times New Roman" w:eastAsia="宋体"/>
          <w:spacing w:val="1"/>
          <w:sz w:val="24"/>
          <w:szCs w:val="24"/>
          <w:highlight w:val="none"/>
          <w:u w:val="single"/>
          <w:lang w:eastAsia="zh-CN"/>
        </w:rPr>
        <w:t xml:space="preserve"> </w:t>
      </w:r>
      <w:r>
        <w:rPr>
          <w:rFonts w:hint="eastAsia" w:ascii="Times New Roman" w:hAnsi="Times New Roman" w:eastAsia="宋体"/>
          <w:spacing w:val="1"/>
          <w:sz w:val="24"/>
          <w:szCs w:val="24"/>
          <w:highlight w:val="none"/>
          <w:u w:val="single"/>
          <w:lang w:eastAsia="zh-CN"/>
        </w:rPr>
        <w:t>/</w:t>
      </w:r>
      <w:r>
        <w:rPr>
          <w:rFonts w:ascii="Times New Roman" w:hAnsi="Times New Roman" w:eastAsia="宋体"/>
          <w:spacing w:val="1"/>
          <w:sz w:val="24"/>
          <w:szCs w:val="24"/>
          <w:highlight w:val="none"/>
          <w:u w:val="single"/>
          <w:lang w:eastAsia="zh-CN"/>
        </w:rPr>
        <w:t xml:space="preserve">  </w:t>
      </w:r>
      <w:r>
        <w:rPr>
          <w:rFonts w:ascii="Times New Roman" w:hAnsi="Times New Roman" w:eastAsia="宋体"/>
          <w:spacing w:val="1"/>
          <w:sz w:val="24"/>
          <w:szCs w:val="24"/>
          <w:highlight w:val="none"/>
          <w:lang w:eastAsia="zh-CN"/>
        </w:rPr>
        <w:t>仲裁委员会提请仲裁；</w:t>
      </w: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r>
        <w:rPr>
          <w:rFonts w:ascii="Times New Roman" w:hAnsi="Times New Roman" w:eastAsia="宋体"/>
          <w:spacing w:val="1"/>
          <w:sz w:val="24"/>
          <w:szCs w:val="24"/>
          <w:highlight w:val="none"/>
          <w:lang w:eastAsia="zh-CN"/>
        </w:rPr>
        <w:t>（2）向</w:t>
      </w:r>
      <w:r>
        <w:rPr>
          <w:rFonts w:ascii="Times New Roman" w:hAnsi="Times New Roman" w:eastAsia="宋体"/>
          <w:spacing w:val="1"/>
          <w:sz w:val="24"/>
          <w:szCs w:val="24"/>
          <w:highlight w:val="none"/>
          <w:u w:val="single"/>
          <w:lang w:eastAsia="zh-CN"/>
        </w:rPr>
        <w:t xml:space="preserve"> </w:t>
      </w:r>
      <w:r>
        <w:rPr>
          <w:rFonts w:hint="eastAsia" w:ascii="Times New Roman" w:hAnsi="Times New Roman" w:eastAsia="宋体"/>
          <w:spacing w:val="1"/>
          <w:sz w:val="24"/>
          <w:szCs w:val="24"/>
          <w:highlight w:val="none"/>
          <w:u w:val="single"/>
          <w:lang w:eastAsia="zh-CN"/>
        </w:rPr>
        <w:t>项目所在地</w:t>
      </w:r>
      <w:r>
        <w:rPr>
          <w:rFonts w:ascii="Times New Roman" w:hAnsi="Times New Roman" w:eastAsia="宋体"/>
          <w:spacing w:val="1"/>
          <w:sz w:val="24"/>
          <w:szCs w:val="24"/>
          <w:highlight w:val="none"/>
          <w:lang w:eastAsia="zh-CN"/>
        </w:rPr>
        <w:t>人民法院提起诉讼。</w:t>
      </w: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29"/>
        <w:spacing w:line="440" w:lineRule="atLeast"/>
        <w:ind w:left="0" w:leftChars="0"/>
        <w:rPr>
          <w:rStyle w:val="58"/>
          <w:highlight w:val="none"/>
        </w:rPr>
      </w:pPr>
      <w:r>
        <w:rPr>
          <w:b/>
          <w:highlight w:val="none"/>
        </w:rPr>
        <w:br w:type="page"/>
      </w:r>
      <w:bookmarkEnd w:id="236"/>
      <w:bookmarkStart w:id="866" w:name="_Toc234833230"/>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2"/>
        <w:spacing w:before="240" w:after="240" w:line="440" w:lineRule="atLeast"/>
        <w:jc w:val="center"/>
        <w:rPr>
          <w:rFonts w:eastAsia="黑体"/>
          <w:b w:val="0"/>
          <w:sz w:val="42"/>
          <w:szCs w:val="42"/>
          <w:highlight w:val="none"/>
        </w:rPr>
      </w:pPr>
      <w:bookmarkStart w:id="867" w:name="_Toc510015787"/>
      <w:bookmarkStart w:id="868" w:name="_Toc4788"/>
      <w:r>
        <w:rPr>
          <w:rFonts w:eastAsia="黑体"/>
          <w:b w:val="0"/>
          <w:sz w:val="42"/>
          <w:szCs w:val="42"/>
          <w:highlight w:val="none"/>
        </w:rPr>
        <w:t>第三节  合同附件格式</w:t>
      </w:r>
      <w:bookmarkEnd w:id="866"/>
      <w:bookmarkEnd w:id="867"/>
      <w:bookmarkEnd w:id="868"/>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29"/>
        <w:tabs>
          <w:tab w:val="left" w:pos="6720"/>
        </w:tabs>
        <w:spacing w:before="0" w:after="0" w:line="440" w:lineRule="atLeast"/>
        <w:ind w:firstLine="484" w:firstLineChars="200"/>
        <w:rPr>
          <w:rFonts w:ascii="Times New Roman" w:hAnsi="Times New Roman" w:eastAsia="宋体"/>
          <w:spacing w:val="1"/>
          <w:sz w:val="24"/>
          <w:szCs w:val="24"/>
          <w:highlight w:val="none"/>
          <w:lang w:eastAsia="zh-CN"/>
        </w:rPr>
      </w:pPr>
    </w:p>
    <w:p>
      <w:pPr>
        <w:pStyle w:val="107"/>
        <w:spacing w:before="260" w:after="260" w:line="440" w:lineRule="atLeast"/>
        <w:jc w:val="center"/>
        <w:rPr>
          <w:rFonts w:ascii="Times New Roman" w:hAnsi="Times New Roman" w:eastAsia="黑体"/>
          <w:sz w:val="24"/>
          <w:szCs w:val="24"/>
          <w:highlight w:val="none"/>
          <w:lang w:eastAsia="zh-CN"/>
        </w:rPr>
      </w:pPr>
      <w:r>
        <w:rPr>
          <w:rFonts w:ascii="Times New Roman" w:hAnsi="Times New Roman" w:eastAsia="黑体"/>
          <w:sz w:val="24"/>
          <w:szCs w:val="24"/>
          <w:highlight w:val="none"/>
          <w:lang w:eastAsia="zh-CN"/>
        </w:rPr>
        <w:br w:type="page"/>
      </w:r>
      <w:bookmarkStart w:id="869" w:name="_Toc508201398"/>
      <w:bookmarkStart w:id="870" w:name="_Toc9436"/>
      <w:bookmarkStart w:id="871" w:name="_Toc19948"/>
      <w:bookmarkStart w:id="872" w:name="_Toc499646507"/>
      <w:bookmarkStart w:id="873" w:name="_Toc508200460"/>
      <w:bookmarkStart w:id="874" w:name="_Toc506006182"/>
      <w:bookmarkStart w:id="875" w:name="_Toc510015788"/>
      <w:bookmarkStart w:id="876" w:name="_Toc234833231"/>
      <w:r>
        <w:rPr>
          <w:rFonts w:ascii="Times New Roman" w:hAnsi="Times New Roman" w:eastAsia="黑体"/>
          <w:sz w:val="24"/>
          <w:szCs w:val="24"/>
          <w:highlight w:val="none"/>
          <w:lang w:eastAsia="zh-CN"/>
        </w:rPr>
        <w:t>附件一：合同协议书</w:t>
      </w:r>
      <w:bookmarkEnd w:id="869"/>
      <w:bookmarkEnd w:id="870"/>
      <w:bookmarkEnd w:id="871"/>
      <w:bookmarkEnd w:id="872"/>
      <w:bookmarkEnd w:id="873"/>
      <w:bookmarkEnd w:id="874"/>
    </w:p>
    <w:p>
      <w:pPr>
        <w:pStyle w:val="130"/>
        <w:spacing w:beforeLines="50" w:after="120" w:afterLines="50" w:line="440" w:lineRule="atLeast"/>
        <w:ind w:left="3617"/>
        <w:jc w:val="left"/>
        <w:rPr>
          <w:rFonts w:ascii="Times New Roman" w:hAnsi="Times New Roman" w:eastAsia="黑体"/>
          <w:sz w:val="32"/>
          <w:szCs w:val="32"/>
          <w:highlight w:val="none"/>
          <w:lang w:eastAsia="zh-CN"/>
        </w:rPr>
      </w:pPr>
      <w:r>
        <w:rPr>
          <w:rFonts w:ascii="Times New Roman" w:hAnsi="Times New Roman" w:eastAsia="黑体"/>
          <w:sz w:val="32"/>
          <w:szCs w:val="32"/>
          <w:highlight w:val="none"/>
          <w:lang w:eastAsia="zh-CN"/>
        </w:rPr>
        <w:t>合同协议书</w:t>
      </w:r>
    </w:p>
    <w:p>
      <w:pPr>
        <w:pStyle w:val="130"/>
        <w:spacing w:before="0" w:after="0" w:line="440" w:lineRule="atLeast"/>
        <w:ind w:firstLine="484" w:firstLineChars="200"/>
        <w:jc w:val="left"/>
        <w:rPr>
          <w:rFonts w:ascii="Times New Roman" w:hAnsi="Times New Roman" w:eastAsia="宋体"/>
          <w:spacing w:val="1"/>
          <w:sz w:val="24"/>
          <w:szCs w:val="24"/>
          <w:highlight w:val="none"/>
          <w:lang w:eastAsia="zh-CN"/>
        </w:rPr>
      </w:pP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_________</w:t>
      </w:r>
      <w:r>
        <w:rPr>
          <w:rFonts w:ascii="Times New Roman" w:hAnsi="Times New Roman" w:eastAsia="宋体"/>
          <w:sz w:val="24"/>
          <w:szCs w:val="24"/>
          <w:highlight w:val="none"/>
          <w:lang w:eastAsia="zh-CN"/>
        </w:rPr>
        <w:t>（委托人名称，以下简称</w:t>
      </w:r>
      <w:r>
        <w:rPr>
          <w:rFonts w:ascii="Times New Roman" w:hAnsi="Times New Roman"/>
          <w:sz w:val="24"/>
          <w:szCs w:val="24"/>
          <w:highlight w:val="none"/>
          <w:lang w:eastAsia="zh-CN"/>
        </w:rPr>
        <w:t>“</w:t>
      </w:r>
      <w:r>
        <w:rPr>
          <w:rFonts w:ascii="Times New Roman" w:hAnsi="Times New Roman" w:eastAsia="宋体"/>
          <w:spacing w:val="1"/>
          <w:sz w:val="24"/>
          <w:szCs w:val="24"/>
          <w:highlight w:val="none"/>
          <w:lang w:eastAsia="zh-CN"/>
        </w:rPr>
        <w:t>委托人</w:t>
      </w:r>
      <w:r>
        <w:rPr>
          <w:rFonts w:ascii="Times New Roman" w:hAnsi="Times New Roman"/>
          <w:sz w:val="24"/>
          <w:szCs w:val="24"/>
          <w:highlight w:val="none"/>
          <w:lang w:eastAsia="zh-CN"/>
        </w:rPr>
        <w:t>”</w:t>
      </w:r>
      <w:r>
        <w:rPr>
          <w:rFonts w:ascii="Times New Roman" w:hAnsi="Times New Roman" w:eastAsia="宋体"/>
          <w:sz w:val="24"/>
          <w:szCs w:val="24"/>
          <w:highlight w:val="none"/>
          <w:lang w:eastAsia="zh-CN"/>
        </w:rPr>
        <w:t>）为实施</w:t>
      </w:r>
      <w:r>
        <w:rPr>
          <w:rFonts w:ascii="Times New Roman" w:hAnsi="Times New Roman" w:eastAsia="宋体"/>
          <w:spacing w:val="1"/>
          <w:sz w:val="24"/>
          <w:szCs w:val="24"/>
          <w:highlight w:val="none"/>
          <w:lang w:eastAsia="zh-CN"/>
        </w:rPr>
        <w:t>_________</w:t>
      </w:r>
      <w:r>
        <w:rPr>
          <w:rFonts w:ascii="Times New Roman" w:hAnsi="Times New Roman" w:eastAsia="宋体"/>
          <w:sz w:val="24"/>
          <w:szCs w:val="24"/>
          <w:highlight w:val="none"/>
          <w:lang w:eastAsia="zh-CN"/>
        </w:rPr>
        <w:t>（项目</w:t>
      </w:r>
      <w:r>
        <w:rPr>
          <w:rFonts w:ascii="Times New Roman" w:hAnsi="Times New Roman" w:eastAsia="宋体"/>
          <w:spacing w:val="-14"/>
          <w:sz w:val="24"/>
          <w:szCs w:val="24"/>
          <w:highlight w:val="none"/>
          <w:lang w:eastAsia="zh-CN"/>
        </w:rPr>
        <w:t>名称），已接受</w:t>
      </w:r>
      <w:r>
        <w:rPr>
          <w:rFonts w:ascii="Times New Roman" w:hAnsi="Times New Roman" w:eastAsia="宋体"/>
          <w:spacing w:val="1"/>
          <w:sz w:val="24"/>
          <w:szCs w:val="24"/>
          <w:highlight w:val="none"/>
          <w:lang w:eastAsia="zh-CN"/>
        </w:rPr>
        <w:t>_________（</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名称，以下简称</w:t>
      </w:r>
      <w:r>
        <w:rPr>
          <w:rFonts w:ascii="Times New Roman" w:hAnsi="Times New Roman"/>
          <w:sz w:val="24"/>
          <w:szCs w:val="24"/>
          <w:highlight w:val="none"/>
          <w:lang w:eastAsia="zh-CN"/>
        </w:rPr>
        <w:t>“</w:t>
      </w:r>
      <w:r>
        <w:rPr>
          <w:rFonts w:hint="eastAsia" w:ascii="Times New Roman" w:hAnsi="Times New Roman" w:eastAsia="宋体"/>
          <w:spacing w:val="1"/>
          <w:sz w:val="24"/>
          <w:szCs w:val="24"/>
          <w:highlight w:val="none"/>
          <w:lang w:eastAsia="zh-CN"/>
        </w:rPr>
        <w:t>服务人</w:t>
      </w:r>
      <w:r>
        <w:rPr>
          <w:rFonts w:ascii="Times New Roman" w:hAnsi="Times New Roman"/>
          <w:sz w:val="24"/>
          <w:szCs w:val="24"/>
          <w:highlight w:val="none"/>
          <w:lang w:eastAsia="zh-CN"/>
        </w:rPr>
        <w:t>”</w:t>
      </w:r>
      <w:r>
        <w:rPr>
          <w:rFonts w:ascii="Times New Roman" w:hAnsi="Times New Roman" w:eastAsia="宋体"/>
          <w:spacing w:val="1"/>
          <w:sz w:val="24"/>
          <w:szCs w:val="24"/>
          <w:highlight w:val="none"/>
          <w:lang w:eastAsia="zh-CN"/>
        </w:rPr>
        <w:t>）对该项目</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投标。</w:t>
      </w:r>
      <w:r>
        <w:rPr>
          <w:rFonts w:ascii="Times New Roman" w:hAnsi="Times New Roman" w:eastAsia="宋体"/>
          <w:sz w:val="24"/>
          <w:szCs w:val="24"/>
          <w:highlight w:val="none"/>
          <w:lang w:eastAsia="zh-CN"/>
        </w:rPr>
        <w:t>委托人和</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共同达成如下协议。</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spacing w:val="1"/>
          <w:sz w:val="24"/>
          <w:szCs w:val="24"/>
          <w:highlight w:val="none"/>
          <w:lang w:eastAsia="zh-CN"/>
        </w:rPr>
        <w:t xml:space="preserve">1. </w:t>
      </w:r>
      <w:r>
        <w:rPr>
          <w:rFonts w:ascii="Times New Roman" w:hAnsi="Times New Roman" w:eastAsia="宋体"/>
          <w:sz w:val="24"/>
          <w:szCs w:val="24"/>
          <w:highlight w:val="none"/>
          <w:lang w:eastAsia="zh-CN"/>
        </w:rPr>
        <w:t>下列文件一起构成合同文件：</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1</w:t>
      </w:r>
      <w:r>
        <w:rPr>
          <w:rFonts w:ascii="Times New Roman" w:hAnsi="Times New Roman" w:eastAsia="宋体"/>
          <w:sz w:val="24"/>
          <w:szCs w:val="24"/>
          <w:highlight w:val="none"/>
          <w:lang w:eastAsia="zh-CN"/>
        </w:rPr>
        <w:t>）合同协议书；</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2</w:t>
      </w:r>
      <w:r>
        <w:rPr>
          <w:rFonts w:ascii="Times New Roman" w:hAnsi="Times New Roman" w:eastAsia="宋体"/>
          <w:sz w:val="24"/>
          <w:szCs w:val="24"/>
          <w:highlight w:val="none"/>
          <w:lang w:eastAsia="zh-CN"/>
        </w:rPr>
        <w:t>）中标通知书；</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3</w:t>
      </w:r>
      <w:r>
        <w:rPr>
          <w:rFonts w:ascii="Times New Roman" w:hAnsi="Times New Roman" w:eastAsia="宋体"/>
          <w:sz w:val="24"/>
          <w:szCs w:val="24"/>
          <w:highlight w:val="none"/>
          <w:lang w:eastAsia="zh-CN"/>
        </w:rPr>
        <w:t>）投标函；</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4</w:t>
      </w:r>
      <w:r>
        <w:rPr>
          <w:rFonts w:ascii="Times New Roman" w:hAnsi="Times New Roman" w:eastAsia="宋体"/>
          <w:sz w:val="24"/>
          <w:szCs w:val="24"/>
          <w:highlight w:val="none"/>
          <w:lang w:eastAsia="zh-CN"/>
        </w:rPr>
        <w:t>）专用合同条款；</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5</w:t>
      </w:r>
      <w:r>
        <w:rPr>
          <w:rFonts w:ascii="Times New Roman" w:hAnsi="Times New Roman" w:eastAsia="宋体"/>
          <w:sz w:val="24"/>
          <w:szCs w:val="24"/>
          <w:highlight w:val="none"/>
          <w:lang w:eastAsia="zh-CN"/>
        </w:rPr>
        <w:t>）通用合同条款；</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6</w:t>
      </w:r>
      <w:r>
        <w:rPr>
          <w:rFonts w:ascii="Times New Roman" w:hAnsi="Times New Roman" w:eastAsia="宋体"/>
          <w:sz w:val="24"/>
          <w:szCs w:val="24"/>
          <w:highlight w:val="none"/>
          <w:lang w:eastAsia="zh-CN"/>
        </w:rPr>
        <w:t>）委托人要求；</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7</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费用清单；</w:t>
      </w:r>
    </w:p>
    <w:p>
      <w:pPr>
        <w:pStyle w:val="130"/>
        <w:spacing w:before="0" w:after="0" w:line="440" w:lineRule="atLeast"/>
        <w:ind w:firstLine="484" w:firstLineChars="200"/>
        <w:jc w:val="left"/>
        <w:rPr>
          <w:rFonts w:ascii="Times New Roman" w:hAnsi="Times New Roman" w:eastAsia="宋体"/>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8</w:t>
      </w:r>
      <w:r>
        <w:rPr>
          <w:rFonts w:ascii="Times New Roman" w:hAnsi="Times New Roman" w:eastAsia="宋体"/>
          <w:sz w:val="24"/>
          <w:szCs w:val="24"/>
          <w:highlight w:val="none"/>
          <w:lang w:eastAsia="zh-CN"/>
        </w:rPr>
        <w:t>）</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方案；</w:t>
      </w:r>
    </w:p>
    <w:p>
      <w:pPr>
        <w:pStyle w:val="130"/>
        <w:spacing w:before="0" w:after="0" w:line="440" w:lineRule="atLeast"/>
        <w:ind w:firstLine="484" w:firstLineChars="200"/>
        <w:jc w:val="left"/>
        <w:rPr>
          <w:rFonts w:ascii="Times New Roman" w:hAnsi="Times New Roman" w:eastAsia="宋体"/>
          <w:sz w:val="24"/>
          <w:szCs w:val="24"/>
          <w:highlight w:val="none"/>
          <w:lang w:eastAsia="zh-CN"/>
        </w:rPr>
      </w:pPr>
      <w:r>
        <w:rPr>
          <w:rFonts w:ascii="Times New Roman" w:hAnsi="Times New Roman" w:eastAsia="宋体"/>
          <w:spacing w:val="1"/>
          <w:sz w:val="24"/>
          <w:szCs w:val="24"/>
          <w:highlight w:val="none"/>
          <w:lang w:eastAsia="zh-CN"/>
        </w:rPr>
        <w:t>（</w:t>
      </w:r>
      <w:r>
        <w:rPr>
          <w:rFonts w:ascii="Times New Roman" w:hAnsi="Times New Roman"/>
          <w:spacing w:val="1"/>
          <w:sz w:val="24"/>
          <w:szCs w:val="24"/>
          <w:highlight w:val="none"/>
          <w:lang w:eastAsia="zh-CN"/>
        </w:rPr>
        <w:t>9</w:t>
      </w:r>
      <w:r>
        <w:rPr>
          <w:rFonts w:ascii="Times New Roman" w:hAnsi="Times New Roman" w:eastAsia="宋体"/>
          <w:sz w:val="24"/>
          <w:szCs w:val="24"/>
          <w:highlight w:val="none"/>
          <w:lang w:eastAsia="zh-CN"/>
        </w:rPr>
        <w:t>）附录，即：</w:t>
      </w:r>
    </w:p>
    <w:p>
      <w:pPr>
        <w:pStyle w:val="130"/>
        <w:spacing w:before="0" w:after="0" w:line="440" w:lineRule="atLeast"/>
        <w:ind w:firstLine="1132" w:firstLineChars="472"/>
        <w:jc w:val="left"/>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 xml:space="preserve">附录A  </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相关工作的范围和内容</w:t>
      </w:r>
    </w:p>
    <w:p>
      <w:pPr>
        <w:pStyle w:val="130"/>
        <w:spacing w:before="0" w:after="0" w:line="440" w:lineRule="atLeast"/>
        <w:ind w:firstLine="1132" w:firstLineChars="472"/>
        <w:jc w:val="left"/>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附录B  委托人提供的资料</w:t>
      </w:r>
    </w:p>
    <w:p>
      <w:pPr>
        <w:pStyle w:val="130"/>
        <w:spacing w:before="0" w:after="0" w:line="440" w:lineRule="atLeast"/>
        <w:ind w:firstLine="1132" w:firstLineChars="472"/>
        <w:jc w:val="left"/>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 xml:space="preserve">附录C  </w:t>
      </w:r>
      <w:bookmarkStart w:id="877" w:name="_Hlk513455213"/>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项目负责人及其他</w:t>
      </w:r>
      <w:bookmarkEnd w:id="877"/>
      <w:r>
        <w:rPr>
          <w:rFonts w:ascii="Times New Roman" w:hAnsi="Times New Roman" w:eastAsia="宋体"/>
          <w:sz w:val="24"/>
          <w:szCs w:val="24"/>
          <w:highlight w:val="none"/>
          <w:lang w:eastAsia="zh-CN"/>
        </w:rPr>
        <w:t>主要人员配置表</w:t>
      </w:r>
    </w:p>
    <w:p>
      <w:pPr>
        <w:pStyle w:val="130"/>
        <w:spacing w:before="0" w:after="0" w:line="440" w:lineRule="atLeast"/>
        <w:ind w:firstLine="480" w:firstLineChars="200"/>
        <w:jc w:val="left"/>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（10）合同其他附件。</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spacing w:val="1"/>
          <w:sz w:val="24"/>
          <w:szCs w:val="24"/>
          <w:highlight w:val="none"/>
          <w:lang w:eastAsia="zh-CN"/>
        </w:rPr>
        <w:t xml:space="preserve">2. </w:t>
      </w:r>
      <w:r>
        <w:rPr>
          <w:rFonts w:ascii="Times New Roman" w:hAnsi="Times New Roman" w:eastAsia="宋体"/>
          <w:spacing w:val="-1"/>
          <w:sz w:val="24"/>
          <w:szCs w:val="24"/>
          <w:highlight w:val="none"/>
          <w:lang w:eastAsia="zh-CN"/>
        </w:rPr>
        <w:t>上述合同文件互相补充和解释。如果合同文件之间存在矛盾或不一致之处，以上述文件</w:t>
      </w:r>
      <w:r>
        <w:rPr>
          <w:rFonts w:ascii="Times New Roman" w:hAnsi="Times New Roman" w:eastAsia="宋体"/>
          <w:sz w:val="24"/>
          <w:szCs w:val="24"/>
          <w:highlight w:val="none"/>
          <w:lang w:eastAsia="zh-CN"/>
        </w:rPr>
        <w:t>的排列顺序在先者为准。</w:t>
      </w:r>
    </w:p>
    <w:p>
      <w:pPr>
        <w:pStyle w:val="130"/>
        <w:spacing w:line="440" w:lineRule="atLeast"/>
        <w:ind w:firstLine="484" w:firstLineChars="200"/>
        <w:jc w:val="left"/>
        <w:rPr>
          <w:rFonts w:ascii="Times New Roman" w:hAnsi="Times New Roman" w:eastAsia="宋体"/>
          <w:sz w:val="24"/>
          <w:szCs w:val="24"/>
          <w:highlight w:val="none"/>
          <w:lang w:eastAsia="zh-CN"/>
        </w:rPr>
      </w:pPr>
      <w:r>
        <w:rPr>
          <w:rFonts w:ascii="Times New Roman" w:hAnsi="Times New Roman"/>
          <w:spacing w:val="1"/>
          <w:sz w:val="24"/>
          <w:szCs w:val="24"/>
          <w:highlight w:val="none"/>
          <w:lang w:eastAsia="zh-CN"/>
        </w:rPr>
        <w:t xml:space="preserve">3. </w:t>
      </w:r>
      <w:r>
        <w:rPr>
          <w:rFonts w:ascii="Times New Roman" w:hAnsi="Times New Roman" w:eastAsia="宋体"/>
          <w:sz w:val="24"/>
          <w:szCs w:val="24"/>
          <w:highlight w:val="none"/>
          <w:lang w:eastAsia="zh-CN"/>
        </w:rPr>
        <w:t>签约合同价：</w:t>
      </w:r>
      <w:bookmarkStart w:id="878" w:name="_Hlk513490029"/>
      <w:r>
        <w:rPr>
          <w:rFonts w:hint="eastAsia" w:ascii="Times New Roman" w:hAnsi="Times New Roman" w:eastAsia="宋体"/>
          <w:sz w:val="24"/>
          <w:szCs w:val="24"/>
          <w:highlight w:val="none"/>
          <w:lang w:eastAsia="zh-CN"/>
        </w:rPr>
        <w:t>人民币含税（大写）</w:t>
      </w:r>
      <w:r>
        <w:rPr>
          <w:rFonts w:hint="eastAsia" w:ascii="Times New Roman" w:hAnsi="Times New Roman" w:eastAsia="宋体"/>
          <w:sz w:val="24"/>
          <w:szCs w:val="24"/>
          <w:highlight w:val="none"/>
          <w:u w:val="single"/>
          <w:lang w:eastAsia="zh-CN"/>
        </w:rPr>
        <w:t xml:space="preserve"> </w:t>
      </w:r>
      <w:r>
        <w:rPr>
          <w:rFonts w:ascii="Times New Roman" w:hAnsi="Times New Roman" w:eastAsia="宋体"/>
          <w:sz w:val="24"/>
          <w:szCs w:val="24"/>
          <w:highlight w:val="none"/>
          <w:u w:val="single"/>
          <w:lang w:eastAsia="zh-CN"/>
        </w:rPr>
        <w:t xml:space="preserve">            </w:t>
      </w:r>
      <w:r>
        <w:rPr>
          <w:rFonts w:hint="eastAsia" w:ascii="Times New Roman" w:hAnsi="Times New Roman" w:eastAsia="宋体"/>
          <w:sz w:val="24"/>
          <w:szCs w:val="24"/>
          <w:highlight w:val="none"/>
          <w:lang w:eastAsia="zh-CN"/>
        </w:rPr>
        <w:t>（¥</w:t>
      </w:r>
      <w:r>
        <w:rPr>
          <w:rFonts w:ascii="Times New Roman" w:hAnsi="Times New Roman" w:eastAsia="宋体"/>
          <w:sz w:val="24"/>
          <w:szCs w:val="24"/>
          <w:highlight w:val="none"/>
          <w:lang w:eastAsia="zh-CN"/>
        </w:rPr>
        <w:t xml:space="preserve">       </w:t>
      </w:r>
      <w:r>
        <w:rPr>
          <w:rFonts w:hint="eastAsia" w:ascii="Times New Roman" w:hAnsi="Times New Roman" w:eastAsia="宋体"/>
          <w:sz w:val="24"/>
          <w:szCs w:val="24"/>
          <w:highlight w:val="none"/>
          <w:lang w:eastAsia="zh-CN"/>
        </w:rPr>
        <w:t>元），不含税合同价款人民币（大写）</w:t>
      </w:r>
      <w:r>
        <w:rPr>
          <w:rFonts w:hint="eastAsia" w:ascii="Times New Roman" w:hAnsi="Times New Roman" w:eastAsia="宋体"/>
          <w:sz w:val="24"/>
          <w:szCs w:val="24"/>
          <w:highlight w:val="none"/>
          <w:u w:val="single"/>
          <w:lang w:eastAsia="zh-CN"/>
        </w:rPr>
        <w:t xml:space="preserve"> </w:t>
      </w:r>
      <w:r>
        <w:rPr>
          <w:rFonts w:ascii="Times New Roman" w:hAnsi="Times New Roman" w:eastAsia="宋体"/>
          <w:sz w:val="24"/>
          <w:szCs w:val="24"/>
          <w:highlight w:val="none"/>
          <w:u w:val="single"/>
          <w:lang w:eastAsia="zh-CN"/>
        </w:rPr>
        <w:t xml:space="preserve">             </w:t>
      </w:r>
      <w:r>
        <w:rPr>
          <w:rFonts w:hint="eastAsia" w:ascii="Times New Roman" w:hAnsi="Times New Roman" w:eastAsia="宋体"/>
          <w:sz w:val="24"/>
          <w:szCs w:val="24"/>
          <w:highlight w:val="none"/>
          <w:lang w:eastAsia="zh-CN"/>
        </w:rPr>
        <w:t>（¥</w:t>
      </w:r>
      <w:r>
        <w:rPr>
          <w:rFonts w:ascii="Times New Roman" w:hAnsi="Times New Roman" w:eastAsia="宋体"/>
          <w:sz w:val="24"/>
          <w:szCs w:val="24"/>
          <w:highlight w:val="none"/>
          <w:lang w:eastAsia="zh-CN"/>
        </w:rPr>
        <w:t xml:space="preserve">        </w:t>
      </w:r>
      <w:r>
        <w:rPr>
          <w:rFonts w:hint="eastAsia" w:ascii="Times New Roman" w:hAnsi="Times New Roman" w:eastAsia="宋体"/>
          <w:sz w:val="24"/>
          <w:szCs w:val="24"/>
          <w:highlight w:val="none"/>
          <w:lang w:eastAsia="zh-CN"/>
        </w:rPr>
        <w:t>元），增值税款人民币（大写）</w:t>
      </w:r>
      <w:r>
        <w:rPr>
          <w:rFonts w:hint="eastAsia" w:ascii="Times New Roman" w:hAnsi="Times New Roman" w:eastAsia="宋体"/>
          <w:sz w:val="24"/>
          <w:szCs w:val="24"/>
          <w:highlight w:val="none"/>
          <w:u w:val="single"/>
          <w:lang w:eastAsia="zh-CN"/>
        </w:rPr>
        <w:t xml:space="preserve"> </w:t>
      </w:r>
      <w:r>
        <w:rPr>
          <w:rFonts w:ascii="Times New Roman" w:hAnsi="Times New Roman" w:eastAsia="宋体"/>
          <w:sz w:val="24"/>
          <w:szCs w:val="24"/>
          <w:highlight w:val="none"/>
          <w:u w:val="single"/>
          <w:lang w:eastAsia="zh-CN"/>
        </w:rPr>
        <w:t xml:space="preserve">      </w:t>
      </w:r>
      <w:r>
        <w:rPr>
          <w:rFonts w:hint="eastAsia" w:ascii="Times New Roman" w:hAnsi="Times New Roman" w:eastAsia="宋体"/>
          <w:sz w:val="24"/>
          <w:szCs w:val="24"/>
          <w:highlight w:val="none"/>
          <w:lang w:eastAsia="zh-CN"/>
        </w:rPr>
        <w:t>（¥</w:t>
      </w:r>
      <w:r>
        <w:rPr>
          <w:rFonts w:ascii="Times New Roman" w:hAnsi="Times New Roman" w:eastAsia="宋体"/>
          <w:sz w:val="24"/>
          <w:szCs w:val="24"/>
          <w:highlight w:val="none"/>
          <w:lang w:eastAsia="zh-CN"/>
        </w:rPr>
        <w:t xml:space="preserve">     </w:t>
      </w:r>
      <w:r>
        <w:rPr>
          <w:rFonts w:hint="eastAsia" w:ascii="Times New Roman" w:hAnsi="Times New Roman" w:eastAsia="宋体"/>
          <w:sz w:val="24"/>
          <w:szCs w:val="24"/>
          <w:highlight w:val="none"/>
          <w:lang w:eastAsia="zh-CN"/>
        </w:rPr>
        <w:t>），税率</w:t>
      </w:r>
      <w:r>
        <w:rPr>
          <w:rFonts w:ascii="Times New Roman" w:hAnsi="Times New Roman" w:eastAsia="宋体"/>
          <w:sz w:val="24"/>
          <w:szCs w:val="24"/>
          <w:highlight w:val="none"/>
          <w:lang w:eastAsia="zh-CN"/>
        </w:rPr>
        <w:t xml:space="preserve">   </w:t>
      </w:r>
      <w:r>
        <w:rPr>
          <w:rFonts w:hint="eastAsia" w:ascii="Times New Roman" w:hAnsi="Times New Roman" w:eastAsia="宋体"/>
          <w:sz w:val="24"/>
          <w:szCs w:val="24"/>
          <w:highlight w:val="none"/>
          <w:lang w:eastAsia="zh-CN"/>
        </w:rPr>
        <w:t>%，如遇国家税率调整，本合同税率同步调整。水土保持监测/环境监测服务费包括为完成本合同全部工作内容所需的一切费用（含完成合同项目所需的劳务、材料、设备、仪器、运输、检测与试验、管理、保险、税费、利润等费用，因后续政策调整及相关新的要求而增加的内容的费用，以及合同明示或暗示的所有责任、义务和一般风险等的一切费用在内）。合同签订后任何一方不得擅自调整合同价格，但因国家税收政策变化可作调整。不含税价固定不变，不因物价、国家政策、法律规的变化和工期的延长而调整，增值税若在合同履行期间，遇国家税率调整，则相应调整。</w:t>
      </w:r>
    </w:p>
    <w:bookmarkEnd w:id="878"/>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spacing w:val="1"/>
          <w:sz w:val="24"/>
          <w:szCs w:val="24"/>
          <w:highlight w:val="none"/>
          <w:lang w:eastAsia="zh-CN"/>
        </w:rPr>
        <w:t xml:space="preserve">4. </w:t>
      </w:r>
      <w:r>
        <w:rPr>
          <w:rFonts w:ascii="Times New Roman" w:hAnsi="Times New Roman" w:eastAsia="宋体"/>
          <w:sz w:val="24"/>
          <w:szCs w:val="24"/>
          <w:highlight w:val="none"/>
          <w:lang w:eastAsia="zh-CN"/>
        </w:rPr>
        <w:t>项目负责人：</w:t>
      </w:r>
      <w:r>
        <w:rPr>
          <w:rFonts w:ascii="Times New Roman" w:hAnsi="Times New Roman" w:eastAsia="宋体"/>
          <w:kern w:val="2"/>
          <w:sz w:val="24"/>
          <w:szCs w:val="24"/>
          <w:highlight w:val="none"/>
          <w:lang w:eastAsia="zh-CN"/>
        </w:rPr>
        <w:t>姓名</w:t>
      </w:r>
      <w:r>
        <w:rPr>
          <w:rFonts w:ascii="Times New Roman" w:hAnsi="Times New Roman" w:eastAsia="宋体"/>
          <w:spacing w:val="1"/>
          <w:sz w:val="24"/>
          <w:szCs w:val="24"/>
          <w:highlight w:val="none"/>
          <w:lang w:eastAsia="zh-CN"/>
        </w:rPr>
        <w:t>_________</w:t>
      </w:r>
      <w:r>
        <w:rPr>
          <w:rFonts w:ascii="Times New Roman" w:hAnsi="Times New Roman" w:eastAsia="宋体"/>
          <w:kern w:val="2"/>
          <w:sz w:val="24"/>
          <w:szCs w:val="24"/>
          <w:highlight w:val="none"/>
          <w:lang w:eastAsia="zh-CN"/>
        </w:rPr>
        <w:t>，身份证号</w:t>
      </w:r>
      <w:r>
        <w:rPr>
          <w:rFonts w:ascii="Times New Roman" w:hAnsi="Times New Roman" w:eastAsia="宋体"/>
          <w:spacing w:val="1"/>
          <w:sz w:val="24"/>
          <w:szCs w:val="24"/>
          <w:highlight w:val="none"/>
          <w:lang w:eastAsia="zh-CN"/>
        </w:rPr>
        <w:t>_________</w:t>
      </w:r>
      <w:r>
        <w:rPr>
          <w:rFonts w:ascii="Times New Roman" w:hAnsi="Times New Roman" w:eastAsia="宋体"/>
          <w:kern w:val="2"/>
          <w:sz w:val="24"/>
          <w:szCs w:val="24"/>
          <w:highlight w:val="none"/>
          <w:lang w:eastAsia="zh-CN"/>
        </w:rPr>
        <w:t>，注册号</w:t>
      </w:r>
      <w:r>
        <w:rPr>
          <w:rFonts w:ascii="Times New Roman" w:hAnsi="Times New Roman" w:eastAsia="宋体"/>
          <w:spacing w:val="1"/>
          <w:sz w:val="24"/>
          <w:szCs w:val="24"/>
          <w:highlight w:val="none"/>
          <w:lang w:eastAsia="zh-CN"/>
        </w:rPr>
        <w:t>_________</w:t>
      </w:r>
      <w:r>
        <w:rPr>
          <w:rFonts w:ascii="Times New Roman" w:hAnsi="Times New Roman" w:eastAsia="宋体"/>
          <w:sz w:val="24"/>
          <w:szCs w:val="24"/>
          <w:highlight w:val="none"/>
          <w:lang w:eastAsia="zh-CN"/>
        </w:rPr>
        <w:t>。</w:t>
      </w:r>
    </w:p>
    <w:p>
      <w:pPr>
        <w:pStyle w:val="130"/>
        <w:spacing w:before="0" w:after="0" w:line="440" w:lineRule="atLeast"/>
        <w:ind w:firstLine="484" w:firstLineChars="200"/>
        <w:jc w:val="left"/>
        <w:rPr>
          <w:rFonts w:ascii="Times New Roman" w:hAnsi="Times New Roman" w:eastAsia="宋体"/>
          <w:sz w:val="24"/>
          <w:szCs w:val="24"/>
          <w:highlight w:val="none"/>
          <w:lang w:eastAsia="zh-CN"/>
        </w:rPr>
      </w:pPr>
      <w:r>
        <w:rPr>
          <w:rFonts w:ascii="Times New Roman" w:hAnsi="Times New Roman"/>
          <w:spacing w:val="1"/>
          <w:sz w:val="24"/>
          <w:szCs w:val="24"/>
          <w:highlight w:val="none"/>
          <w:lang w:eastAsia="zh-CN"/>
        </w:rPr>
        <w:t xml:space="preserve">5. </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工作质量符合的标准和要求：</w:t>
      </w:r>
      <w:r>
        <w:rPr>
          <w:rFonts w:ascii="Times New Roman" w:hAnsi="Times New Roman" w:eastAsia="宋体"/>
          <w:spacing w:val="1"/>
          <w:sz w:val="24"/>
          <w:szCs w:val="24"/>
          <w:highlight w:val="none"/>
          <w:lang w:eastAsia="zh-CN"/>
        </w:rPr>
        <w:t>_________</w:t>
      </w:r>
      <w:r>
        <w:rPr>
          <w:rFonts w:ascii="Times New Roman" w:hAnsi="Times New Roman" w:eastAsia="宋体"/>
          <w:sz w:val="24"/>
          <w:szCs w:val="24"/>
          <w:highlight w:val="none"/>
          <w:lang w:eastAsia="zh-CN"/>
        </w:rPr>
        <w:t>。</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spacing w:val="1"/>
          <w:sz w:val="24"/>
          <w:szCs w:val="24"/>
          <w:highlight w:val="none"/>
          <w:lang w:eastAsia="zh-CN"/>
        </w:rPr>
        <w:t xml:space="preserve">6. </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承诺按合同约定承担工程的</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工作。</w:t>
      </w:r>
    </w:p>
    <w:p>
      <w:pPr>
        <w:pStyle w:val="130"/>
        <w:spacing w:before="0" w:after="0" w:line="440" w:lineRule="atLeast"/>
        <w:ind w:firstLine="484" w:firstLineChars="200"/>
        <w:jc w:val="left"/>
        <w:rPr>
          <w:rFonts w:ascii="Times New Roman" w:hAnsi="Times New Roman" w:eastAsia="宋体"/>
          <w:spacing w:val="1"/>
          <w:sz w:val="24"/>
          <w:szCs w:val="24"/>
          <w:highlight w:val="none"/>
          <w:lang w:eastAsia="zh-CN"/>
        </w:rPr>
      </w:pPr>
      <w:r>
        <w:rPr>
          <w:rFonts w:ascii="Times New Roman" w:hAnsi="Times New Roman"/>
          <w:spacing w:val="1"/>
          <w:sz w:val="24"/>
          <w:szCs w:val="24"/>
          <w:highlight w:val="none"/>
          <w:lang w:eastAsia="zh-CN"/>
        </w:rPr>
        <w:t xml:space="preserve">7. </w:t>
      </w:r>
      <w:r>
        <w:rPr>
          <w:rFonts w:ascii="Times New Roman" w:hAnsi="Times New Roman" w:eastAsia="宋体"/>
          <w:spacing w:val="1"/>
          <w:sz w:val="24"/>
          <w:szCs w:val="24"/>
          <w:highlight w:val="none"/>
          <w:lang w:eastAsia="zh-CN"/>
        </w:rPr>
        <w:t>委托人承诺按合同约定的条件、时间和方式向</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支付合同价款。</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spacing w:val="1"/>
          <w:sz w:val="24"/>
          <w:szCs w:val="24"/>
          <w:highlight w:val="none"/>
          <w:lang w:eastAsia="zh-CN"/>
        </w:rPr>
        <w:t xml:space="preserve">8. </w:t>
      </w:r>
      <w:r>
        <w:rPr>
          <w:rFonts w:hint="eastAsia" w:ascii="Times New Roman" w:hAnsi="Times New Roman" w:eastAsia="宋体"/>
          <w:spacing w:val="1"/>
          <w:sz w:val="24"/>
          <w:szCs w:val="24"/>
          <w:highlight w:val="none"/>
          <w:lang w:eastAsia="zh-CN"/>
        </w:rPr>
        <w:t>服务人</w:t>
      </w:r>
      <w:r>
        <w:rPr>
          <w:rFonts w:ascii="Times New Roman" w:hAnsi="Times New Roman" w:eastAsia="宋体"/>
          <w:spacing w:val="1"/>
          <w:sz w:val="24"/>
          <w:szCs w:val="24"/>
          <w:highlight w:val="none"/>
          <w:lang w:eastAsia="zh-CN"/>
        </w:rPr>
        <w:t>计划开始</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日期：_________，实际日期按照委托人在开始</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通知中载明的开始</w:t>
      </w:r>
      <w:r>
        <w:rPr>
          <w:rFonts w:hint="eastAsia" w:ascii="Times New Roman" w:hAnsi="Times New Roman" w:eastAsia="宋体"/>
          <w:spacing w:val="1"/>
          <w:sz w:val="24"/>
          <w:szCs w:val="24"/>
          <w:highlight w:val="none"/>
          <w:lang w:eastAsia="zh-CN"/>
        </w:rPr>
        <w:t>服务</w:t>
      </w:r>
      <w:r>
        <w:rPr>
          <w:rFonts w:ascii="Times New Roman" w:hAnsi="Times New Roman" w:eastAsia="宋体"/>
          <w:spacing w:val="1"/>
          <w:sz w:val="24"/>
          <w:szCs w:val="24"/>
          <w:highlight w:val="none"/>
          <w:lang w:eastAsia="zh-CN"/>
        </w:rPr>
        <w:t>日期为准。</w:t>
      </w:r>
      <w:r>
        <w:rPr>
          <w:rFonts w:hint="eastAsia" w:ascii="Times New Roman" w:hAnsi="Times New Roman" w:eastAsia="宋体"/>
          <w:sz w:val="24"/>
          <w:szCs w:val="24"/>
          <w:highlight w:val="none"/>
          <w:lang w:eastAsia="zh-CN"/>
        </w:rPr>
        <w:t>服务</w:t>
      </w:r>
      <w:r>
        <w:rPr>
          <w:rFonts w:ascii="Times New Roman" w:hAnsi="Times New Roman" w:eastAsia="宋体"/>
          <w:sz w:val="24"/>
          <w:szCs w:val="24"/>
          <w:highlight w:val="none"/>
          <w:lang w:eastAsia="zh-CN"/>
        </w:rPr>
        <w:t>期限为</w:t>
      </w:r>
      <w:r>
        <w:rPr>
          <w:rFonts w:ascii="Times New Roman" w:hAnsi="Times New Roman" w:eastAsia="宋体"/>
          <w:spacing w:val="1"/>
          <w:sz w:val="24"/>
          <w:szCs w:val="24"/>
          <w:highlight w:val="none"/>
          <w:lang w:eastAsia="zh-CN"/>
        </w:rPr>
        <w:t>_________天。</w:t>
      </w:r>
    </w:p>
    <w:p>
      <w:pPr>
        <w:pStyle w:val="130"/>
        <w:spacing w:before="0" w:after="0" w:line="440" w:lineRule="atLeast"/>
        <w:ind w:firstLine="484" w:firstLineChars="200"/>
        <w:jc w:val="left"/>
        <w:rPr>
          <w:rFonts w:ascii="Times New Roman" w:hAnsi="Times New Roman"/>
          <w:sz w:val="24"/>
          <w:szCs w:val="24"/>
          <w:highlight w:val="none"/>
          <w:lang w:eastAsia="zh-CN"/>
        </w:rPr>
      </w:pPr>
      <w:r>
        <w:rPr>
          <w:rFonts w:ascii="Times New Roman" w:hAnsi="Times New Roman"/>
          <w:spacing w:val="1"/>
          <w:sz w:val="24"/>
          <w:szCs w:val="24"/>
          <w:highlight w:val="none"/>
          <w:lang w:eastAsia="zh-CN"/>
        </w:rPr>
        <w:t xml:space="preserve">9. </w:t>
      </w:r>
      <w:r>
        <w:rPr>
          <w:rFonts w:ascii="Times New Roman" w:hAnsi="Times New Roman" w:eastAsia="宋体"/>
          <w:sz w:val="24"/>
          <w:szCs w:val="24"/>
          <w:highlight w:val="none"/>
          <w:lang w:eastAsia="zh-CN"/>
        </w:rPr>
        <w:t>本合同协议书</w:t>
      </w:r>
      <w:bookmarkStart w:id="879" w:name="_Hlk513490320"/>
      <w:r>
        <w:rPr>
          <w:rFonts w:ascii="Times New Roman" w:hAnsi="Times New Roman" w:eastAsia="宋体"/>
          <w:sz w:val="24"/>
          <w:szCs w:val="24"/>
          <w:highlight w:val="none"/>
          <w:lang w:eastAsia="zh-CN"/>
        </w:rPr>
        <w:t>一式</w:t>
      </w:r>
      <w:r>
        <w:rPr>
          <w:rFonts w:ascii="Times New Roman" w:hAnsi="Times New Roman" w:eastAsia="宋体"/>
          <w:spacing w:val="1"/>
          <w:sz w:val="24"/>
          <w:szCs w:val="24"/>
          <w:highlight w:val="none"/>
          <w:lang w:eastAsia="zh-CN"/>
        </w:rPr>
        <w:t>_________</w:t>
      </w:r>
      <w:r>
        <w:rPr>
          <w:rFonts w:ascii="Times New Roman" w:hAnsi="Times New Roman" w:eastAsia="宋体"/>
          <w:sz w:val="24"/>
          <w:szCs w:val="24"/>
          <w:highlight w:val="none"/>
          <w:lang w:eastAsia="zh-CN"/>
        </w:rPr>
        <w:t>份，合同双方各执</w:t>
      </w:r>
      <w:bookmarkStart w:id="880" w:name="_Hlk513490284"/>
      <w:bookmarkEnd w:id="880"/>
      <w:r>
        <w:rPr>
          <w:rFonts w:ascii="Times New Roman" w:hAnsi="Times New Roman" w:eastAsia="宋体"/>
          <w:spacing w:val="1"/>
          <w:sz w:val="24"/>
          <w:szCs w:val="24"/>
          <w:highlight w:val="none"/>
          <w:lang w:eastAsia="zh-CN"/>
        </w:rPr>
        <w:t>_________</w:t>
      </w:r>
      <w:r>
        <w:rPr>
          <w:rFonts w:ascii="Times New Roman" w:hAnsi="Times New Roman" w:eastAsia="宋体"/>
          <w:sz w:val="24"/>
          <w:szCs w:val="24"/>
          <w:highlight w:val="none"/>
          <w:lang w:eastAsia="zh-CN"/>
        </w:rPr>
        <w:t>份</w:t>
      </w:r>
      <w:bookmarkEnd w:id="879"/>
      <w:r>
        <w:rPr>
          <w:rFonts w:ascii="Times New Roman" w:hAnsi="Times New Roman" w:eastAsia="宋体"/>
          <w:spacing w:val="-1"/>
          <w:sz w:val="24"/>
          <w:szCs w:val="24"/>
          <w:highlight w:val="none"/>
          <w:lang w:eastAsia="zh-CN"/>
        </w:rPr>
        <w:t>。</w:t>
      </w:r>
    </w:p>
    <w:p>
      <w:pPr>
        <w:pStyle w:val="130"/>
        <w:spacing w:before="0" w:after="0" w:line="440" w:lineRule="atLeast"/>
        <w:ind w:firstLine="484" w:firstLineChars="200"/>
        <w:jc w:val="left"/>
        <w:rPr>
          <w:rFonts w:ascii="Times New Roman" w:hAnsi="Times New Roman" w:eastAsia="宋体"/>
          <w:sz w:val="24"/>
          <w:szCs w:val="24"/>
          <w:highlight w:val="none"/>
          <w:lang w:eastAsia="zh-CN"/>
        </w:rPr>
      </w:pPr>
      <w:r>
        <w:rPr>
          <w:rFonts w:ascii="Times New Roman" w:hAnsi="Times New Roman"/>
          <w:spacing w:val="1"/>
          <w:sz w:val="24"/>
          <w:szCs w:val="24"/>
          <w:highlight w:val="none"/>
          <w:lang w:eastAsia="zh-CN"/>
        </w:rPr>
        <w:t xml:space="preserve">10. </w:t>
      </w:r>
      <w:r>
        <w:rPr>
          <w:rFonts w:ascii="Times New Roman" w:hAnsi="Times New Roman" w:eastAsia="宋体"/>
          <w:sz w:val="24"/>
          <w:szCs w:val="24"/>
          <w:highlight w:val="none"/>
          <w:lang w:eastAsia="zh-CN"/>
        </w:rPr>
        <w:t>合同未尽事宜，双方另行签订补充协议。补充协议是合同的组成部分。</w:t>
      </w:r>
    </w:p>
    <w:p>
      <w:pPr>
        <w:pStyle w:val="130"/>
        <w:spacing w:before="0" w:after="0" w:line="440" w:lineRule="atLeast"/>
        <w:ind w:firstLine="480" w:firstLineChars="200"/>
        <w:jc w:val="left"/>
        <w:rPr>
          <w:rFonts w:ascii="Times New Roman" w:hAnsi="Times New Roman" w:eastAsia="宋体"/>
          <w:sz w:val="24"/>
          <w:szCs w:val="24"/>
          <w:highlight w:val="none"/>
          <w:lang w:eastAsia="zh-CN"/>
        </w:rPr>
      </w:pPr>
    </w:p>
    <w:p>
      <w:pPr>
        <w:pStyle w:val="130"/>
        <w:spacing w:before="0" w:after="0" w:line="440" w:lineRule="atLeast"/>
        <w:ind w:firstLine="480" w:firstLineChars="200"/>
        <w:jc w:val="left"/>
        <w:rPr>
          <w:rFonts w:ascii="Times New Roman" w:hAnsi="Times New Roman"/>
          <w:sz w:val="24"/>
          <w:szCs w:val="24"/>
          <w:highlight w:val="none"/>
          <w:lang w:eastAsia="zh-CN"/>
        </w:rPr>
      </w:pPr>
    </w:p>
    <w:p>
      <w:pPr>
        <w:pStyle w:val="131"/>
        <w:spacing w:before="0" w:after="0" w:line="440" w:lineRule="atLeast"/>
        <w:jc w:val="left"/>
        <w:rPr>
          <w:rFonts w:ascii="Times New Roman" w:hAnsi="Times New Roman"/>
          <w:sz w:val="24"/>
          <w:szCs w:val="24"/>
          <w:highlight w:val="none"/>
          <w:lang w:eastAsia="zh-CN"/>
        </w:rPr>
      </w:pPr>
      <w:r>
        <w:rPr>
          <w:rFonts w:ascii="Times New Roman" w:hAnsi="Times New Roman" w:eastAsia="宋体"/>
          <w:sz w:val="24"/>
          <w:szCs w:val="24"/>
          <w:highlight w:val="none"/>
          <w:lang w:eastAsia="zh-CN"/>
        </w:rPr>
        <w:t>委托人：</w:t>
      </w:r>
      <w:r>
        <w:rPr>
          <w:rFonts w:ascii="Times New Roman" w:hAnsi="Times New Roman" w:eastAsia="宋体"/>
          <w:spacing w:val="1"/>
          <w:sz w:val="24"/>
          <w:szCs w:val="24"/>
          <w:highlight w:val="none"/>
          <w:lang w:eastAsia="zh-CN"/>
        </w:rPr>
        <w:t>_________</w:t>
      </w:r>
      <w:r>
        <w:rPr>
          <w:rFonts w:ascii="Times New Roman" w:hAnsi="Times New Roman" w:eastAsia="宋体"/>
          <w:sz w:val="24"/>
          <w:szCs w:val="24"/>
          <w:highlight w:val="none"/>
          <w:lang w:eastAsia="zh-CN"/>
        </w:rPr>
        <w:t xml:space="preserve">（盖单位章）              </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w:t>
      </w:r>
      <w:r>
        <w:rPr>
          <w:rFonts w:ascii="Times New Roman" w:hAnsi="Times New Roman" w:eastAsia="宋体"/>
          <w:spacing w:val="1"/>
          <w:sz w:val="24"/>
          <w:szCs w:val="24"/>
          <w:highlight w:val="none"/>
          <w:lang w:eastAsia="zh-CN"/>
        </w:rPr>
        <w:t>_________</w:t>
      </w:r>
      <w:r>
        <w:rPr>
          <w:rFonts w:ascii="Times New Roman" w:hAnsi="Times New Roman" w:eastAsia="宋体"/>
          <w:sz w:val="24"/>
          <w:szCs w:val="24"/>
          <w:highlight w:val="none"/>
          <w:lang w:eastAsia="zh-CN"/>
        </w:rPr>
        <w:t>（盖单位章）</w:t>
      </w:r>
    </w:p>
    <w:p>
      <w:pPr>
        <w:pStyle w:val="131"/>
        <w:spacing w:before="0" w:after="0" w:line="440" w:lineRule="atLeast"/>
        <w:jc w:val="left"/>
        <w:rPr>
          <w:rFonts w:ascii="Times New Roman" w:hAnsi="Times New Roman"/>
          <w:sz w:val="24"/>
          <w:szCs w:val="24"/>
          <w:highlight w:val="none"/>
          <w:lang w:eastAsia="zh-CN"/>
        </w:rPr>
      </w:pPr>
      <w:r>
        <w:rPr>
          <w:rFonts w:ascii="Times New Roman" w:hAnsi="Times New Roman" w:eastAsia="宋体"/>
          <w:sz w:val="24"/>
          <w:szCs w:val="24"/>
          <w:highlight w:val="none"/>
          <w:lang w:eastAsia="zh-CN"/>
        </w:rPr>
        <w:t>法定代表人或其委托代理人：___（签字）     法定代表人或其委托代理人：___（签字）</w:t>
      </w:r>
    </w:p>
    <w:p>
      <w:pPr>
        <w:pStyle w:val="11"/>
        <w:spacing w:line="440" w:lineRule="atLeast"/>
        <w:ind w:firstLine="2520" w:firstLineChars="1050"/>
        <w:rPr>
          <w:sz w:val="24"/>
          <w:highlight w:val="none"/>
        </w:rPr>
      </w:pPr>
      <w:r>
        <w:rPr>
          <w:sz w:val="24"/>
          <w:highlight w:val="none"/>
        </w:rPr>
        <w:t>___年___月___日                  ___年___月___日</w:t>
      </w:r>
    </w:p>
    <w:p>
      <w:pPr>
        <w:pStyle w:val="11"/>
        <w:spacing w:line="440" w:lineRule="atLeast"/>
        <w:rPr>
          <w:sz w:val="24"/>
          <w:highlight w:val="none"/>
        </w:rPr>
      </w:pPr>
      <w:r>
        <w:rPr>
          <w:sz w:val="24"/>
          <w:highlight w:val="none"/>
        </w:rPr>
        <w:br w:type="page"/>
      </w:r>
    </w:p>
    <w:p>
      <w:pPr>
        <w:pStyle w:val="83"/>
        <w:adjustRightInd w:val="0"/>
        <w:snapToGrid w:val="0"/>
        <w:spacing w:line="440" w:lineRule="atLeast"/>
        <w:ind w:left="682" w:hanging="560"/>
        <w:jc w:val="center"/>
        <w:rPr>
          <w:b/>
          <w:sz w:val="24"/>
          <w:highlight w:val="none"/>
        </w:rPr>
      </w:pPr>
      <w:r>
        <w:rPr>
          <w:sz w:val="24"/>
          <w:highlight w:val="none"/>
        </w:rPr>
        <w:t xml:space="preserve">附录A  </w:t>
      </w:r>
      <w:r>
        <w:rPr>
          <w:rFonts w:hint="eastAsia"/>
          <w:sz w:val="24"/>
          <w:highlight w:val="none"/>
        </w:rPr>
        <w:t>服务</w:t>
      </w:r>
      <w:r>
        <w:rPr>
          <w:sz w:val="24"/>
          <w:highlight w:val="none"/>
        </w:rPr>
        <w:t>相关工作的范围和内容</w:t>
      </w:r>
    </w:p>
    <w:p>
      <w:pPr>
        <w:pStyle w:val="130"/>
        <w:spacing w:beforeLines="50" w:after="120" w:afterLines="50" w:line="440" w:lineRule="atLeast"/>
        <w:jc w:val="center"/>
        <w:rPr>
          <w:rFonts w:ascii="Times New Roman" w:hAnsi="Times New Roman" w:eastAsia="宋体"/>
          <w:kern w:val="2"/>
          <w:sz w:val="24"/>
          <w:szCs w:val="24"/>
          <w:highlight w:val="none"/>
          <w:lang w:eastAsia="zh-CN"/>
        </w:rPr>
      </w:pPr>
      <w:r>
        <w:rPr>
          <w:rFonts w:ascii="Times New Roman" w:hAnsi="Times New Roman"/>
          <w:sz w:val="21"/>
          <w:highlight w:val="none"/>
          <w:lang w:eastAsia="zh-CN"/>
        </w:rPr>
        <w:br w:type="page"/>
      </w:r>
      <w:r>
        <w:rPr>
          <w:rFonts w:ascii="Times New Roman" w:hAnsi="Times New Roman" w:eastAsia="宋体"/>
          <w:kern w:val="2"/>
          <w:sz w:val="24"/>
          <w:szCs w:val="24"/>
          <w:highlight w:val="none"/>
          <w:lang w:eastAsia="zh-CN"/>
        </w:rPr>
        <w:t>附录B  委托人提供的资料</w:t>
      </w:r>
    </w:p>
    <w:p>
      <w:pPr>
        <w:pStyle w:val="130"/>
        <w:spacing w:beforeLines="50" w:after="120" w:afterLines="50" w:line="440" w:lineRule="atLeast"/>
        <w:jc w:val="center"/>
        <w:rPr>
          <w:rFonts w:ascii="Times New Roman" w:hAnsi="Times New Roman" w:eastAsia="宋体"/>
          <w:sz w:val="24"/>
          <w:szCs w:val="24"/>
          <w:highlight w:val="none"/>
          <w:lang w:eastAsia="zh-CN"/>
        </w:rPr>
      </w:pPr>
      <w:r>
        <w:rPr>
          <w:rFonts w:ascii="Times New Roman" w:hAnsi="Times New Roman" w:eastAsia="宋体"/>
          <w:kern w:val="2"/>
          <w:sz w:val="21"/>
          <w:szCs w:val="21"/>
          <w:highlight w:val="none"/>
          <w:lang w:eastAsia="zh-CN"/>
        </w:rPr>
        <w:br w:type="page"/>
      </w:r>
      <w:r>
        <w:rPr>
          <w:rFonts w:ascii="Times New Roman" w:hAnsi="Times New Roman" w:eastAsia="宋体"/>
          <w:sz w:val="24"/>
          <w:szCs w:val="24"/>
          <w:highlight w:val="none"/>
          <w:lang w:eastAsia="zh-CN"/>
        </w:rPr>
        <w:t xml:space="preserve">附录C  </w:t>
      </w:r>
      <w:r>
        <w:rPr>
          <w:rFonts w:hint="eastAsia" w:ascii="Times New Roman" w:hAnsi="Times New Roman" w:eastAsia="宋体"/>
          <w:sz w:val="24"/>
          <w:szCs w:val="24"/>
          <w:highlight w:val="none"/>
          <w:lang w:eastAsia="zh-CN"/>
        </w:rPr>
        <w:t>服务人</w:t>
      </w:r>
      <w:r>
        <w:rPr>
          <w:rFonts w:ascii="Times New Roman" w:hAnsi="Times New Roman" w:eastAsia="宋体"/>
          <w:sz w:val="24"/>
          <w:szCs w:val="24"/>
          <w:highlight w:val="none"/>
          <w:lang w:eastAsia="zh-CN"/>
        </w:rPr>
        <w:t>项目负责人及其他主要人员配置表</w:t>
      </w:r>
    </w:p>
    <w:p>
      <w:pPr>
        <w:pStyle w:val="130"/>
        <w:spacing w:beforeLines="50" w:after="120" w:afterLines="50" w:line="440" w:lineRule="atLeast"/>
        <w:jc w:val="center"/>
        <w:rPr>
          <w:rFonts w:ascii="Times New Roman" w:hAnsi="Times New Roman" w:eastAsia="宋体"/>
          <w:sz w:val="24"/>
          <w:szCs w:val="24"/>
          <w:highlight w:val="none"/>
          <w:lang w:eastAsia="zh-CN"/>
        </w:rPr>
      </w:pPr>
    </w:p>
    <w:p>
      <w:pPr>
        <w:pStyle w:val="130"/>
        <w:spacing w:beforeLines="50" w:after="120" w:afterLines="50" w:line="440" w:lineRule="atLeast"/>
        <w:jc w:val="center"/>
        <w:rPr>
          <w:rFonts w:ascii="Times New Roman" w:hAnsi="Times New Roman" w:eastAsia="宋体"/>
          <w:sz w:val="24"/>
          <w:szCs w:val="24"/>
          <w:highlight w:val="none"/>
          <w:lang w:eastAsia="zh-CN"/>
        </w:rPr>
      </w:pPr>
    </w:p>
    <w:p>
      <w:pPr>
        <w:spacing w:line="380" w:lineRule="atLeast"/>
        <w:rPr>
          <w:rFonts w:eastAsia="黑体"/>
          <w:sz w:val="24"/>
          <w:szCs w:val="24"/>
          <w:highlight w:val="none"/>
        </w:rPr>
      </w:pPr>
      <w:r>
        <w:rPr>
          <w:highlight w:val="none"/>
        </w:rPr>
        <w:br w:type="page"/>
      </w:r>
      <w:bookmarkEnd w:id="875"/>
      <w:bookmarkEnd w:id="876"/>
      <w:bookmarkStart w:id="881" w:name="_Toc31966"/>
      <w:bookmarkStart w:id="882" w:name="_Toc234833232"/>
      <w:bookmarkStart w:id="883" w:name="_Toc509993927"/>
      <w:bookmarkStart w:id="884" w:name="_Toc30283"/>
      <w:bookmarkStart w:id="885" w:name="_Toc510015792"/>
      <w:r>
        <w:rPr>
          <w:rFonts w:eastAsia="黑体"/>
          <w:sz w:val="24"/>
          <w:szCs w:val="24"/>
          <w:highlight w:val="none"/>
        </w:rPr>
        <w:t>附件二 廉政合同</w:t>
      </w:r>
      <w:bookmarkEnd w:id="881"/>
      <w:bookmarkEnd w:id="882"/>
      <w:bookmarkEnd w:id="883"/>
      <w:bookmarkEnd w:id="884"/>
    </w:p>
    <w:p>
      <w:pPr>
        <w:spacing w:line="440" w:lineRule="exact"/>
        <w:jc w:val="center"/>
        <w:rPr>
          <w:rFonts w:eastAsia="黑体"/>
          <w:sz w:val="28"/>
          <w:szCs w:val="28"/>
          <w:highlight w:val="none"/>
        </w:rPr>
      </w:pPr>
      <w:r>
        <w:rPr>
          <w:rFonts w:eastAsia="黑体"/>
          <w:sz w:val="28"/>
          <w:szCs w:val="28"/>
          <w:highlight w:val="none"/>
        </w:rPr>
        <w:t>廉 政 合 同</w:t>
      </w:r>
    </w:p>
    <w:p>
      <w:pPr>
        <w:spacing w:line="400" w:lineRule="atLeast"/>
        <w:rPr>
          <w:rFonts w:eastAsia="黑体"/>
          <w:b/>
          <w:spacing w:val="30"/>
          <w:sz w:val="24"/>
          <w:highlight w:val="none"/>
        </w:rPr>
      </w:pPr>
    </w:p>
    <w:p>
      <w:pPr>
        <w:spacing w:line="400" w:lineRule="atLeast"/>
        <w:ind w:firstLine="616" w:firstLineChars="257"/>
        <w:rPr>
          <w:sz w:val="24"/>
          <w:highlight w:val="none"/>
        </w:rPr>
      </w:pPr>
      <w:r>
        <w:rPr>
          <w:sz w:val="24"/>
          <w:highlight w:val="none"/>
        </w:rPr>
        <w:t>根据《关于在交通基础设施建设中加强廉政建设的若干意见》以及有关工程建设、廉政建设的规定，为做好工程建设中的党风廉政建设，保证工程建设高效优质，保证建设资金的安全和有效使用以及投资效益，</w:t>
      </w:r>
      <w:r>
        <w:rPr>
          <w:sz w:val="24"/>
          <w:highlight w:val="none"/>
          <w:u w:val="single"/>
        </w:rPr>
        <w:t xml:space="preserve">              </w:t>
      </w:r>
      <w:r>
        <w:rPr>
          <w:sz w:val="24"/>
          <w:highlight w:val="none"/>
        </w:rPr>
        <w:t>（项目名称）的项目法人</w:t>
      </w:r>
      <w:r>
        <w:rPr>
          <w:sz w:val="24"/>
          <w:highlight w:val="none"/>
          <w:u w:val="single"/>
        </w:rPr>
        <w:t xml:space="preserve">           </w:t>
      </w:r>
      <w:r>
        <w:rPr>
          <w:sz w:val="24"/>
          <w:highlight w:val="none"/>
        </w:rPr>
        <w:t>（项目法人名称，以下简称“委托人”）与该项目</w:t>
      </w:r>
      <w:r>
        <w:rPr>
          <w:sz w:val="24"/>
          <w:highlight w:val="none"/>
          <w:u w:val="single"/>
        </w:rPr>
        <w:t xml:space="preserve">     </w:t>
      </w:r>
      <w:r>
        <w:rPr>
          <w:sz w:val="24"/>
          <w:highlight w:val="none"/>
        </w:rPr>
        <w:t>标段的</w:t>
      </w:r>
      <w:r>
        <w:rPr>
          <w:rFonts w:hint="eastAsia"/>
          <w:sz w:val="24"/>
          <w:highlight w:val="none"/>
        </w:rPr>
        <w:t>服务</w:t>
      </w:r>
      <w:r>
        <w:rPr>
          <w:sz w:val="24"/>
          <w:highlight w:val="none"/>
        </w:rPr>
        <w:t>单位</w:t>
      </w:r>
      <w:r>
        <w:rPr>
          <w:sz w:val="24"/>
          <w:highlight w:val="none"/>
          <w:u w:val="single"/>
        </w:rPr>
        <w:t xml:space="preserve">              </w:t>
      </w:r>
      <w:r>
        <w:rPr>
          <w:sz w:val="24"/>
          <w:highlight w:val="none"/>
        </w:rPr>
        <w:t>（</w:t>
      </w:r>
      <w:r>
        <w:rPr>
          <w:rFonts w:hint="eastAsia"/>
          <w:sz w:val="24"/>
          <w:highlight w:val="none"/>
        </w:rPr>
        <w:t>服务</w:t>
      </w:r>
      <w:r>
        <w:rPr>
          <w:sz w:val="24"/>
          <w:highlight w:val="none"/>
        </w:rPr>
        <w:t>单位名称，以下简称“</w:t>
      </w:r>
      <w:r>
        <w:rPr>
          <w:rFonts w:hint="eastAsia"/>
          <w:sz w:val="24"/>
          <w:highlight w:val="none"/>
        </w:rPr>
        <w:t>服务人</w:t>
      </w:r>
      <w:r>
        <w:rPr>
          <w:sz w:val="24"/>
          <w:highlight w:val="none"/>
        </w:rPr>
        <w:t>”），特订立如下合同。</w:t>
      </w:r>
    </w:p>
    <w:p>
      <w:pPr>
        <w:spacing w:line="400" w:lineRule="atLeast"/>
        <w:ind w:firstLine="616" w:firstLineChars="257"/>
        <w:rPr>
          <w:rFonts w:eastAsia="黑体"/>
          <w:sz w:val="24"/>
          <w:highlight w:val="none"/>
        </w:rPr>
      </w:pPr>
      <w:r>
        <w:rPr>
          <w:rFonts w:eastAsia="黑体"/>
          <w:sz w:val="24"/>
          <w:highlight w:val="none"/>
        </w:rPr>
        <w:t>1. 委托人和</w:t>
      </w:r>
      <w:r>
        <w:rPr>
          <w:rFonts w:hint="eastAsia" w:eastAsia="黑体"/>
          <w:sz w:val="24"/>
          <w:highlight w:val="none"/>
        </w:rPr>
        <w:t>服务人</w:t>
      </w:r>
      <w:r>
        <w:rPr>
          <w:rFonts w:eastAsia="黑体"/>
          <w:sz w:val="24"/>
          <w:highlight w:val="none"/>
        </w:rPr>
        <w:t>双方的权利和义务</w:t>
      </w:r>
    </w:p>
    <w:p>
      <w:pPr>
        <w:spacing w:line="400" w:lineRule="atLeast"/>
        <w:ind w:firstLine="616" w:firstLineChars="257"/>
        <w:rPr>
          <w:sz w:val="24"/>
          <w:highlight w:val="none"/>
        </w:rPr>
      </w:pPr>
      <w:r>
        <w:rPr>
          <w:sz w:val="24"/>
          <w:highlight w:val="none"/>
        </w:rPr>
        <w:t>（1）严格遵守党的政策规定和国家有关法律法规及交通运输部的有关规定。</w:t>
      </w:r>
    </w:p>
    <w:p>
      <w:pPr>
        <w:spacing w:line="400" w:lineRule="atLeast"/>
        <w:ind w:firstLine="616" w:firstLineChars="257"/>
        <w:rPr>
          <w:sz w:val="24"/>
          <w:highlight w:val="none"/>
        </w:rPr>
      </w:pPr>
      <w:r>
        <w:rPr>
          <w:sz w:val="24"/>
          <w:highlight w:val="none"/>
        </w:rPr>
        <w:t>（2）严格执行</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w:t>
      </w:r>
      <w:r>
        <w:rPr>
          <w:rFonts w:hint="eastAsia"/>
          <w:sz w:val="24"/>
          <w:highlight w:val="none"/>
        </w:rPr>
        <w:t>服务</w:t>
      </w:r>
      <w:r>
        <w:rPr>
          <w:sz w:val="24"/>
          <w:highlight w:val="none"/>
        </w:rPr>
        <w:t>合同文件，自觉按合同办事。</w:t>
      </w:r>
    </w:p>
    <w:p>
      <w:pPr>
        <w:spacing w:line="400" w:lineRule="atLeast"/>
        <w:ind w:firstLine="616" w:firstLineChars="257"/>
        <w:rPr>
          <w:sz w:val="24"/>
          <w:highlight w:val="none"/>
        </w:rPr>
      </w:pPr>
      <w:r>
        <w:rPr>
          <w:sz w:val="24"/>
          <w:highlight w:val="none"/>
        </w:rPr>
        <w:t>（3）双方的业务活动坚持公开、公正、诚信、透明的原则（法律认定的商业秘密和合同文件另有规定除外），不得损害国家和集体利益，不得违反工程建设管理规章制度。</w:t>
      </w:r>
    </w:p>
    <w:p>
      <w:pPr>
        <w:spacing w:line="400" w:lineRule="atLeast"/>
        <w:ind w:firstLine="616" w:firstLineChars="257"/>
        <w:rPr>
          <w:sz w:val="24"/>
          <w:highlight w:val="none"/>
        </w:rPr>
      </w:pPr>
      <w:r>
        <w:rPr>
          <w:sz w:val="24"/>
          <w:highlight w:val="none"/>
        </w:rPr>
        <w:t>（4）建立健全廉政制度，开展廉政教育，设立廉政告示牌，公布举报电话，监督并认真查处违法违纪行为。</w:t>
      </w:r>
    </w:p>
    <w:p>
      <w:pPr>
        <w:spacing w:line="400" w:lineRule="atLeast"/>
        <w:ind w:firstLine="616" w:firstLineChars="257"/>
        <w:rPr>
          <w:sz w:val="24"/>
          <w:highlight w:val="none"/>
        </w:rPr>
      </w:pPr>
      <w:r>
        <w:rPr>
          <w:sz w:val="24"/>
          <w:highlight w:val="none"/>
        </w:rPr>
        <w:t>（5）发现对方在业务活动中有违反廉政规定的行为，有及时提醒对方纠正的权利和义务。</w:t>
      </w:r>
    </w:p>
    <w:p>
      <w:pPr>
        <w:spacing w:line="400" w:lineRule="atLeast"/>
        <w:ind w:firstLine="616" w:firstLineChars="257"/>
        <w:rPr>
          <w:sz w:val="24"/>
          <w:highlight w:val="none"/>
        </w:rPr>
      </w:pPr>
      <w:r>
        <w:rPr>
          <w:sz w:val="24"/>
          <w:highlight w:val="none"/>
        </w:rPr>
        <w:t>（6）发现对方严重违反本合同义务条款的行为，有向其上级有关部门举报、建议给予处理并要求告知处理结果的权利。</w:t>
      </w:r>
    </w:p>
    <w:p>
      <w:pPr>
        <w:spacing w:line="400" w:lineRule="atLeast"/>
        <w:ind w:firstLine="616" w:firstLineChars="257"/>
        <w:rPr>
          <w:rFonts w:eastAsia="黑体"/>
          <w:sz w:val="24"/>
          <w:highlight w:val="none"/>
        </w:rPr>
      </w:pPr>
      <w:r>
        <w:rPr>
          <w:rFonts w:eastAsia="黑体"/>
          <w:sz w:val="24"/>
          <w:highlight w:val="none"/>
        </w:rPr>
        <w:t>2. 委托人的义务</w:t>
      </w:r>
    </w:p>
    <w:p>
      <w:pPr>
        <w:spacing w:line="400" w:lineRule="atLeast"/>
        <w:ind w:firstLine="616" w:firstLineChars="257"/>
        <w:rPr>
          <w:sz w:val="24"/>
          <w:highlight w:val="none"/>
        </w:rPr>
      </w:pPr>
      <w:r>
        <w:rPr>
          <w:sz w:val="24"/>
          <w:highlight w:val="none"/>
        </w:rPr>
        <w:t>（1）委托人及其工作人员不得索要或接受</w:t>
      </w:r>
      <w:r>
        <w:rPr>
          <w:rFonts w:hint="eastAsia"/>
          <w:sz w:val="24"/>
          <w:highlight w:val="none"/>
        </w:rPr>
        <w:t>服务人</w:t>
      </w:r>
      <w:r>
        <w:rPr>
          <w:sz w:val="24"/>
          <w:highlight w:val="none"/>
        </w:rPr>
        <w:t>的礼金、有价证券和贵重物品，不得让</w:t>
      </w:r>
      <w:r>
        <w:rPr>
          <w:rFonts w:hint="eastAsia"/>
          <w:sz w:val="24"/>
          <w:highlight w:val="none"/>
        </w:rPr>
        <w:t>服务人</w:t>
      </w:r>
      <w:r>
        <w:rPr>
          <w:sz w:val="24"/>
          <w:highlight w:val="none"/>
        </w:rPr>
        <w:t>报销任何应由委托人或委托人工作人员个人支付的费用等。</w:t>
      </w:r>
    </w:p>
    <w:p>
      <w:pPr>
        <w:spacing w:line="400" w:lineRule="atLeast"/>
        <w:ind w:firstLine="616" w:firstLineChars="257"/>
        <w:rPr>
          <w:sz w:val="24"/>
          <w:highlight w:val="none"/>
        </w:rPr>
      </w:pPr>
      <w:r>
        <w:rPr>
          <w:sz w:val="24"/>
          <w:highlight w:val="none"/>
        </w:rPr>
        <w:t>（2）委托人工作人员不得参加</w:t>
      </w:r>
      <w:r>
        <w:rPr>
          <w:rFonts w:hint="eastAsia"/>
          <w:sz w:val="24"/>
          <w:highlight w:val="none"/>
        </w:rPr>
        <w:t>服务人</w:t>
      </w:r>
      <w:r>
        <w:rPr>
          <w:sz w:val="24"/>
          <w:highlight w:val="none"/>
        </w:rPr>
        <w:t>安排的超标准宴请和娱乐活动；不得接受</w:t>
      </w:r>
      <w:r>
        <w:rPr>
          <w:rFonts w:hint="eastAsia"/>
          <w:sz w:val="24"/>
          <w:highlight w:val="none"/>
        </w:rPr>
        <w:t>服务人</w:t>
      </w:r>
      <w:r>
        <w:rPr>
          <w:sz w:val="24"/>
          <w:highlight w:val="none"/>
        </w:rPr>
        <w:t>提供的通信工具、交通工具和高档办公用品等。</w:t>
      </w:r>
    </w:p>
    <w:p>
      <w:pPr>
        <w:spacing w:line="400" w:lineRule="atLeast"/>
        <w:ind w:firstLine="616" w:firstLineChars="257"/>
        <w:rPr>
          <w:sz w:val="24"/>
          <w:highlight w:val="none"/>
        </w:rPr>
      </w:pPr>
      <w:r>
        <w:rPr>
          <w:sz w:val="24"/>
          <w:highlight w:val="none"/>
        </w:rPr>
        <w:t>（3）委托人及其工作人员不得要求或者接受</w:t>
      </w:r>
      <w:r>
        <w:rPr>
          <w:rFonts w:hint="eastAsia"/>
          <w:sz w:val="24"/>
          <w:highlight w:val="none"/>
        </w:rPr>
        <w:t>服务人</w:t>
      </w:r>
      <w:r>
        <w:rPr>
          <w:sz w:val="24"/>
          <w:highlight w:val="none"/>
        </w:rPr>
        <w:t>为其住房装修、婚丧嫁娶活动、配偶子女的工作安排以及出国出境、旅游等提供方便等。</w:t>
      </w:r>
    </w:p>
    <w:p>
      <w:pPr>
        <w:spacing w:line="400" w:lineRule="atLeast"/>
        <w:ind w:firstLine="616" w:firstLineChars="257"/>
        <w:rPr>
          <w:sz w:val="24"/>
          <w:highlight w:val="none"/>
        </w:rPr>
      </w:pPr>
      <w:r>
        <w:rPr>
          <w:sz w:val="24"/>
          <w:highlight w:val="none"/>
        </w:rPr>
        <w:t>（4）委托人工作人员及其配偶、子女、亲属不得从事与本</w:t>
      </w:r>
      <w:r>
        <w:rPr>
          <w:rFonts w:hint="eastAsia"/>
          <w:sz w:val="24"/>
          <w:highlight w:val="none"/>
        </w:rPr>
        <w:t>服务</w:t>
      </w:r>
      <w:r>
        <w:rPr>
          <w:sz w:val="24"/>
          <w:highlight w:val="none"/>
        </w:rPr>
        <w:t>合同有关的</w:t>
      </w:r>
      <w:r>
        <w:rPr>
          <w:rFonts w:hint="eastAsia"/>
          <w:sz w:val="24"/>
          <w:highlight w:val="none"/>
        </w:rPr>
        <w:t>服务</w:t>
      </w:r>
      <w:r>
        <w:rPr>
          <w:sz w:val="24"/>
          <w:highlight w:val="none"/>
        </w:rPr>
        <w:t>业务等活动。不得以任何理由要求</w:t>
      </w:r>
      <w:r>
        <w:rPr>
          <w:rFonts w:hint="eastAsia"/>
          <w:sz w:val="24"/>
          <w:highlight w:val="none"/>
        </w:rPr>
        <w:t>服务人</w:t>
      </w:r>
      <w:r>
        <w:rPr>
          <w:sz w:val="24"/>
          <w:highlight w:val="none"/>
        </w:rPr>
        <w:t>和相关单位在设计中使用某种产品、材料和设备。</w:t>
      </w:r>
    </w:p>
    <w:p>
      <w:pPr>
        <w:spacing w:line="400" w:lineRule="atLeast"/>
        <w:ind w:firstLine="616" w:firstLineChars="257"/>
        <w:rPr>
          <w:sz w:val="24"/>
          <w:highlight w:val="none"/>
        </w:rPr>
      </w:pPr>
      <w:r>
        <w:rPr>
          <w:sz w:val="24"/>
          <w:highlight w:val="none"/>
        </w:rPr>
        <w:t>（5）委托人工作人员要秉公办事，不准营私舞弊，不准利用职权从事各种个人有偿中介活动和安排个人</w:t>
      </w:r>
      <w:r>
        <w:rPr>
          <w:rFonts w:hint="eastAsia"/>
          <w:sz w:val="24"/>
          <w:highlight w:val="none"/>
        </w:rPr>
        <w:t>服务</w:t>
      </w:r>
      <w:r>
        <w:rPr>
          <w:sz w:val="24"/>
          <w:highlight w:val="none"/>
        </w:rPr>
        <w:t>队伍。</w:t>
      </w:r>
    </w:p>
    <w:p>
      <w:pPr>
        <w:spacing w:line="400" w:lineRule="atLeast"/>
        <w:ind w:firstLine="616" w:firstLineChars="257"/>
        <w:rPr>
          <w:rFonts w:eastAsia="黑体"/>
          <w:sz w:val="24"/>
          <w:highlight w:val="none"/>
        </w:rPr>
      </w:pPr>
      <w:r>
        <w:rPr>
          <w:sz w:val="24"/>
          <w:highlight w:val="none"/>
        </w:rPr>
        <w:br w:type="page"/>
      </w:r>
      <w:r>
        <w:rPr>
          <w:rFonts w:eastAsia="黑体"/>
          <w:sz w:val="24"/>
          <w:highlight w:val="none"/>
        </w:rPr>
        <w:t xml:space="preserve">3. </w:t>
      </w:r>
      <w:r>
        <w:rPr>
          <w:rFonts w:hint="eastAsia" w:eastAsia="黑体"/>
          <w:sz w:val="24"/>
          <w:highlight w:val="none"/>
        </w:rPr>
        <w:t>服务人</w:t>
      </w:r>
      <w:r>
        <w:rPr>
          <w:rFonts w:eastAsia="黑体"/>
          <w:sz w:val="24"/>
          <w:highlight w:val="none"/>
        </w:rPr>
        <w:t>的义务</w:t>
      </w:r>
    </w:p>
    <w:p>
      <w:pPr>
        <w:spacing w:line="400" w:lineRule="atLeast"/>
        <w:ind w:firstLine="616" w:firstLineChars="257"/>
        <w:rPr>
          <w:sz w:val="24"/>
          <w:highlight w:val="none"/>
        </w:rPr>
      </w:pPr>
      <w:r>
        <w:rPr>
          <w:sz w:val="24"/>
          <w:highlight w:val="none"/>
        </w:rPr>
        <w:t>（1）</w:t>
      </w:r>
      <w:r>
        <w:rPr>
          <w:rFonts w:hint="eastAsia"/>
          <w:sz w:val="24"/>
          <w:highlight w:val="none"/>
        </w:rPr>
        <w:t>服务人</w:t>
      </w:r>
      <w:r>
        <w:rPr>
          <w:sz w:val="24"/>
          <w:highlight w:val="none"/>
        </w:rPr>
        <w:t>不得以任何理由向委托人及其工作人员行贿或馈赠礼金、有价证券、贵重礼品。</w:t>
      </w:r>
    </w:p>
    <w:p>
      <w:pPr>
        <w:spacing w:line="400" w:lineRule="atLeast"/>
        <w:ind w:firstLine="616" w:firstLineChars="257"/>
        <w:rPr>
          <w:sz w:val="24"/>
          <w:highlight w:val="none"/>
        </w:rPr>
      </w:pPr>
      <w:r>
        <w:rPr>
          <w:sz w:val="24"/>
          <w:highlight w:val="none"/>
        </w:rPr>
        <w:t>（2）</w:t>
      </w:r>
      <w:r>
        <w:rPr>
          <w:rFonts w:hint="eastAsia"/>
          <w:sz w:val="24"/>
          <w:highlight w:val="none"/>
        </w:rPr>
        <w:t>服务人</w:t>
      </w:r>
      <w:r>
        <w:rPr>
          <w:sz w:val="24"/>
          <w:highlight w:val="none"/>
        </w:rPr>
        <w:t>不得以任何名义为委托人及其工作人员报销应由委托人单位或个人支付的任何费用。</w:t>
      </w:r>
    </w:p>
    <w:p>
      <w:pPr>
        <w:spacing w:line="400" w:lineRule="atLeast"/>
        <w:ind w:firstLine="616" w:firstLineChars="257"/>
        <w:rPr>
          <w:sz w:val="24"/>
          <w:highlight w:val="none"/>
        </w:rPr>
      </w:pPr>
      <w:r>
        <w:rPr>
          <w:sz w:val="24"/>
          <w:highlight w:val="none"/>
        </w:rPr>
        <w:t>（3）</w:t>
      </w:r>
      <w:r>
        <w:rPr>
          <w:rFonts w:hint="eastAsia"/>
          <w:sz w:val="24"/>
          <w:highlight w:val="none"/>
        </w:rPr>
        <w:t>服务人</w:t>
      </w:r>
      <w:r>
        <w:rPr>
          <w:sz w:val="24"/>
          <w:highlight w:val="none"/>
        </w:rPr>
        <w:t>不得以任何理由安排委托人工作人员参加超标准宴请及娱乐活动。</w:t>
      </w:r>
    </w:p>
    <w:p>
      <w:pPr>
        <w:spacing w:line="400" w:lineRule="atLeast"/>
        <w:ind w:firstLine="616" w:firstLineChars="257"/>
        <w:rPr>
          <w:sz w:val="24"/>
          <w:highlight w:val="none"/>
        </w:rPr>
      </w:pPr>
      <w:r>
        <w:rPr>
          <w:sz w:val="24"/>
          <w:highlight w:val="none"/>
        </w:rPr>
        <w:t>（4）</w:t>
      </w:r>
      <w:r>
        <w:rPr>
          <w:rFonts w:hint="eastAsia"/>
          <w:sz w:val="24"/>
          <w:highlight w:val="none"/>
        </w:rPr>
        <w:t>服务人</w:t>
      </w:r>
      <w:r>
        <w:rPr>
          <w:sz w:val="24"/>
          <w:highlight w:val="none"/>
        </w:rPr>
        <w:t>不得为委托人单位和个人购置或提供通信工具、交通工具和高档办公用品等。</w:t>
      </w:r>
    </w:p>
    <w:p>
      <w:pPr>
        <w:spacing w:line="400" w:lineRule="atLeast"/>
        <w:ind w:firstLine="616" w:firstLineChars="257"/>
        <w:rPr>
          <w:rFonts w:eastAsia="黑体"/>
          <w:sz w:val="24"/>
          <w:highlight w:val="none"/>
        </w:rPr>
      </w:pPr>
      <w:r>
        <w:rPr>
          <w:rFonts w:eastAsia="黑体"/>
          <w:sz w:val="24"/>
          <w:highlight w:val="none"/>
        </w:rPr>
        <w:t>4. 违约责任</w:t>
      </w:r>
    </w:p>
    <w:p>
      <w:pPr>
        <w:spacing w:line="400" w:lineRule="atLeast"/>
        <w:ind w:firstLine="616" w:firstLineChars="257"/>
        <w:rPr>
          <w:sz w:val="24"/>
          <w:highlight w:val="none"/>
        </w:rPr>
      </w:pPr>
      <w:r>
        <w:rPr>
          <w:sz w:val="24"/>
          <w:highlight w:val="none"/>
        </w:rPr>
        <w:t>（1）委托人及其工作人员违反本合同第1、2条，按管理权限，依据有关规定给予党纪、政纪或组织处理；涉嫌犯罪的，移交司法机关追究刑事责任；给</w:t>
      </w:r>
      <w:r>
        <w:rPr>
          <w:rFonts w:hint="eastAsia"/>
          <w:sz w:val="24"/>
          <w:highlight w:val="none"/>
        </w:rPr>
        <w:t>服务人</w:t>
      </w:r>
      <w:r>
        <w:rPr>
          <w:sz w:val="24"/>
          <w:highlight w:val="none"/>
        </w:rPr>
        <w:t>单位造成经济损失的，应予以赔偿。</w:t>
      </w:r>
    </w:p>
    <w:p>
      <w:pPr>
        <w:spacing w:line="400" w:lineRule="atLeast"/>
        <w:ind w:firstLine="616" w:firstLineChars="257"/>
        <w:rPr>
          <w:sz w:val="24"/>
          <w:highlight w:val="none"/>
        </w:rPr>
      </w:pPr>
      <w:r>
        <w:rPr>
          <w:sz w:val="24"/>
          <w:highlight w:val="none"/>
        </w:rPr>
        <w:t>（2）</w:t>
      </w:r>
      <w:r>
        <w:rPr>
          <w:rFonts w:hint="eastAsia"/>
          <w:sz w:val="24"/>
          <w:highlight w:val="none"/>
        </w:rPr>
        <w:t>服务人</w:t>
      </w:r>
      <w:r>
        <w:rPr>
          <w:sz w:val="24"/>
          <w:highlight w:val="none"/>
        </w:rPr>
        <w:t>及其工作人员违反本合同第1、3条，按管理权限，依据有关规定给予党纪、政纪或组织处理；给委托人单位造成经济损失的，应予以赔偿；情节严重的，委托人建议交通运输主管部门给予</w:t>
      </w:r>
      <w:r>
        <w:rPr>
          <w:rFonts w:hint="eastAsia"/>
          <w:sz w:val="24"/>
          <w:highlight w:val="none"/>
        </w:rPr>
        <w:t>服务人</w:t>
      </w:r>
      <w:r>
        <w:rPr>
          <w:sz w:val="24"/>
          <w:highlight w:val="none"/>
        </w:rPr>
        <w:t>一至三年内不得进入其主管的公路建设市场的处罚。</w:t>
      </w:r>
    </w:p>
    <w:p>
      <w:pPr>
        <w:spacing w:line="400" w:lineRule="atLeast"/>
        <w:ind w:firstLine="616" w:firstLineChars="257"/>
        <w:rPr>
          <w:sz w:val="24"/>
          <w:highlight w:val="none"/>
        </w:rPr>
      </w:pPr>
      <w:r>
        <w:rPr>
          <w:rFonts w:eastAsia="黑体"/>
          <w:sz w:val="24"/>
          <w:highlight w:val="none"/>
        </w:rPr>
        <w:t>5.</w:t>
      </w:r>
      <w:r>
        <w:rPr>
          <w:sz w:val="24"/>
          <w:highlight w:val="none"/>
        </w:rPr>
        <w:t xml:space="preserve"> 双方约定：本合同由双方或双方上级单位的纪检监察部门负责监督执行。由委托人或委托人上级单位的纪检监察部门约请</w:t>
      </w:r>
      <w:r>
        <w:rPr>
          <w:rFonts w:hint="eastAsia"/>
          <w:sz w:val="24"/>
          <w:highlight w:val="none"/>
        </w:rPr>
        <w:t>服务人</w:t>
      </w:r>
      <w:r>
        <w:rPr>
          <w:sz w:val="24"/>
          <w:highlight w:val="none"/>
        </w:rPr>
        <w:t>或</w:t>
      </w:r>
      <w:r>
        <w:rPr>
          <w:rFonts w:hint="eastAsia"/>
          <w:sz w:val="24"/>
          <w:highlight w:val="none"/>
        </w:rPr>
        <w:t>服务人</w:t>
      </w:r>
      <w:r>
        <w:rPr>
          <w:sz w:val="24"/>
          <w:highlight w:val="none"/>
        </w:rPr>
        <w:t>上级单位纪检监察部门对本合同执行情况进行检查，提出在本合同规定范围内的裁定意见。</w:t>
      </w:r>
    </w:p>
    <w:p>
      <w:pPr>
        <w:spacing w:line="400" w:lineRule="atLeast"/>
        <w:ind w:firstLine="616" w:firstLineChars="257"/>
        <w:rPr>
          <w:sz w:val="24"/>
          <w:highlight w:val="none"/>
        </w:rPr>
      </w:pPr>
      <w:r>
        <w:rPr>
          <w:rFonts w:eastAsia="黑体"/>
          <w:sz w:val="24"/>
          <w:highlight w:val="none"/>
        </w:rPr>
        <w:t xml:space="preserve">6. </w:t>
      </w:r>
      <w:r>
        <w:rPr>
          <w:sz w:val="24"/>
          <w:highlight w:val="none"/>
        </w:rPr>
        <w:t>本合同有效期为合同双方签署之日起至</w:t>
      </w:r>
      <w:r>
        <w:rPr>
          <w:rFonts w:hint="eastAsia"/>
          <w:sz w:val="24"/>
          <w:highlight w:val="none"/>
        </w:rPr>
        <w:t>服务</w:t>
      </w:r>
      <w:r>
        <w:rPr>
          <w:sz w:val="24"/>
          <w:highlight w:val="none"/>
        </w:rPr>
        <w:t>合同失效日止。</w:t>
      </w:r>
    </w:p>
    <w:p>
      <w:pPr>
        <w:spacing w:line="400" w:lineRule="atLeast"/>
        <w:ind w:firstLine="616" w:firstLineChars="257"/>
        <w:rPr>
          <w:sz w:val="24"/>
          <w:highlight w:val="none"/>
        </w:rPr>
      </w:pPr>
      <w:r>
        <w:rPr>
          <w:rFonts w:eastAsia="黑体"/>
          <w:sz w:val="24"/>
          <w:highlight w:val="none"/>
        </w:rPr>
        <w:t xml:space="preserve">7. </w:t>
      </w:r>
      <w:r>
        <w:rPr>
          <w:sz w:val="24"/>
          <w:highlight w:val="none"/>
        </w:rPr>
        <w:t>本合同作为</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w:t>
      </w:r>
      <w:r>
        <w:rPr>
          <w:rFonts w:hint="eastAsia"/>
          <w:sz w:val="24"/>
          <w:highlight w:val="none"/>
        </w:rPr>
        <w:t>服务</w:t>
      </w:r>
      <w:r>
        <w:rPr>
          <w:sz w:val="24"/>
          <w:highlight w:val="none"/>
        </w:rPr>
        <w:t>合同的附件，</w:t>
      </w:r>
      <w:bookmarkStart w:id="886" w:name="_Hlk12837718"/>
      <w:r>
        <w:rPr>
          <w:sz w:val="24"/>
          <w:highlight w:val="none"/>
        </w:rPr>
        <w:t>与</w:t>
      </w:r>
      <w:r>
        <w:rPr>
          <w:rFonts w:hint="eastAsia"/>
          <w:sz w:val="24"/>
          <w:highlight w:val="none"/>
        </w:rPr>
        <w:t>服务</w:t>
      </w:r>
      <w:r>
        <w:rPr>
          <w:sz w:val="24"/>
          <w:highlight w:val="none"/>
        </w:rPr>
        <w:t>合同具有同等的法律效力，</w:t>
      </w:r>
      <w:bookmarkEnd w:id="886"/>
      <w:r>
        <w:rPr>
          <w:rFonts w:hint="eastAsia"/>
          <w:sz w:val="24"/>
          <w:highlight w:val="none"/>
        </w:rPr>
        <w:t>自合同双方法定代表人或其委托代理人签字并加盖单位公章之日起生效。</w:t>
      </w:r>
    </w:p>
    <w:p>
      <w:pPr>
        <w:spacing w:line="400" w:lineRule="atLeast"/>
        <w:ind w:firstLine="616" w:firstLineChars="257"/>
        <w:rPr>
          <w:sz w:val="24"/>
          <w:highlight w:val="none"/>
        </w:rPr>
      </w:pPr>
      <w:r>
        <w:rPr>
          <w:rFonts w:eastAsia="黑体"/>
          <w:sz w:val="24"/>
          <w:highlight w:val="none"/>
        </w:rPr>
        <w:t>8.</w:t>
      </w:r>
      <w:r>
        <w:rPr>
          <w:sz w:val="24"/>
          <w:highlight w:val="none"/>
        </w:rPr>
        <w:t xml:space="preserve"> 本合同一式四份，由委托人和</w:t>
      </w:r>
      <w:r>
        <w:rPr>
          <w:rFonts w:hint="eastAsia"/>
          <w:sz w:val="24"/>
          <w:highlight w:val="none"/>
        </w:rPr>
        <w:t>服务人</w:t>
      </w:r>
      <w:r>
        <w:rPr>
          <w:sz w:val="24"/>
          <w:highlight w:val="none"/>
        </w:rPr>
        <w:t>各执一份，送交委托人和</w:t>
      </w:r>
      <w:r>
        <w:rPr>
          <w:rFonts w:hint="eastAsia"/>
          <w:sz w:val="24"/>
          <w:highlight w:val="none"/>
        </w:rPr>
        <w:t>服务人</w:t>
      </w:r>
      <w:r>
        <w:rPr>
          <w:sz w:val="24"/>
          <w:highlight w:val="none"/>
        </w:rPr>
        <w:t>的监督单位各一份。</w:t>
      </w:r>
    </w:p>
    <w:p>
      <w:pPr>
        <w:spacing w:line="400" w:lineRule="atLeast"/>
        <w:rPr>
          <w:sz w:val="24"/>
          <w:highlight w:val="none"/>
        </w:rPr>
      </w:pPr>
    </w:p>
    <w:p>
      <w:pPr>
        <w:spacing w:line="440" w:lineRule="exact"/>
        <w:rPr>
          <w:sz w:val="24"/>
          <w:highlight w:val="none"/>
        </w:rPr>
      </w:pPr>
      <w:r>
        <w:rPr>
          <w:sz w:val="24"/>
          <w:highlight w:val="none"/>
        </w:rPr>
        <w:t>委托人：</w:t>
      </w:r>
      <w:r>
        <w:rPr>
          <w:sz w:val="24"/>
          <w:highlight w:val="none"/>
          <w:u w:val="single"/>
        </w:rPr>
        <w:t xml:space="preserve">               </w:t>
      </w:r>
      <w:r>
        <w:rPr>
          <w:sz w:val="24"/>
          <w:highlight w:val="none"/>
        </w:rPr>
        <w:t xml:space="preserve">（盖单位章）     </w:t>
      </w:r>
      <w:r>
        <w:rPr>
          <w:rFonts w:hint="eastAsia"/>
          <w:sz w:val="24"/>
          <w:highlight w:val="none"/>
        </w:rPr>
        <w:t>服务人</w:t>
      </w:r>
      <w:r>
        <w:rPr>
          <w:sz w:val="24"/>
          <w:highlight w:val="none"/>
        </w:rPr>
        <w:t>：</w:t>
      </w:r>
      <w:r>
        <w:rPr>
          <w:sz w:val="24"/>
          <w:highlight w:val="none"/>
          <w:u w:val="single"/>
        </w:rPr>
        <w:t xml:space="preserve">              </w:t>
      </w:r>
      <w:r>
        <w:rPr>
          <w:sz w:val="24"/>
          <w:highlight w:val="none"/>
        </w:rPr>
        <w:t>（盖单位章）</w:t>
      </w:r>
    </w:p>
    <w:p>
      <w:pPr>
        <w:spacing w:line="440" w:lineRule="exact"/>
        <w:rPr>
          <w:sz w:val="24"/>
          <w:highlight w:val="none"/>
        </w:rPr>
      </w:pPr>
      <w:r>
        <w:rPr>
          <w:sz w:val="24"/>
          <w:highlight w:val="none"/>
        </w:rPr>
        <w:t>法定代表人或其委托代理人：</w:t>
      </w:r>
      <w:r>
        <w:rPr>
          <w:sz w:val="24"/>
          <w:highlight w:val="none"/>
          <w:u w:val="single"/>
        </w:rPr>
        <w:t xml:space="preserve">  </w:t>
      </w:r>
      <w:r>
        <w:rPr>
          <w:sz w:val="24"/>
          <w:highlight w:val="none"/>
        </w:rPr>
        <w:t>（签字）  法定代表人或其委托代理人：</w:t>
      </w:r>
      <w:r>
        <w:rPr>
          <w:sz w:val="24"/>
          <w:highlight w:val="none"/>
          <w:u w:val="single"/>
        </w:rPr>
        <w:t xml:space="preserve">   </w:t>
      </w:r>
      <w:r>
        <w:rPr>
          <w:sz w:val="24"/>
          <w:highlight w:val="none"/>
        </w:rPr>
        <w:t>（签字）</w:t>
      </w:r>
    </w:p>
    <w:p>
      <w:pPr>
        <w:spacing w:line="440" w:lineRule="exact"/>
        <w:ind w:firstLine="360" w:firstLineChars="150"/>
        <w:rPr>
          <w:sz w:val="24"/>
          <w:highlight w:val="none"/>
        </w:rPr>
      </w:pPr>
      <w:r>
        <w:rPr>
          <w:sz w:val="24"/>
          <w:highlight w:val="none"/>
          <w:u w:val="single"/>
        </w:rPr>
        <w:t xml:space="preserve">         </w:t>
      </w:r>
      <w:r>
        <w:rPr>
          <w:sz w:val="24"/>
          <w:highlight w:val="none"/>
        </w:rPr>
        <w:t>年</w:t>
      </w:r>
      <w:r>
        <w:rPr>
          <w:sz w:val="24"/>
          <w:highlight w:val="none"/>
          <w:u w:val="single"/>
        </w:rPr>
        <w:t xml:space="preserve">       </w:t>
      </w:r>
      <w:r>
        <w:rPr>
          <w:sz w:val="24"/>
          <w:highlight w:val="none"/>
        </w:rPr>
        <w:t xml:space="preserve">月 </w:t>
      </w:r>
      <w:r>
        <w:rPr>
          <w:sz w:val="24"/>
          <w:highlight w:val="none"/>
          <w:u w:val="single"/>
        </w:rPr>
        <w:t xml:space="preserve">    </w:t>
      </w:r>
      <w:r>
        <w:rPr>
          <w:sz w:val="24"/>
          <w:highlight w:val="none"/>
        </w:rPr>
        <w:t xml:space="preserve"> 日         </w:t>
      </w:r>
      <w:r>
        <w:rPr>
          <w:sz w:val="24"/>
          <w:highlight w:val="none"/>
          <w:u w:val="single"/>
        </w:rPr>
        <w:t xml:space="preserve">         </w:t>
      </w:r>
      <w:r>
        <w:rPr>
          <w:sz w:val="24"/>
          <w:highlight w:val="none"/>
        </w:rPr>
        <w:t>年</w:t>
      </w:r>
      <w:r>
        <w:rPr>
          <w:sz w:val="24"/>
          <w:highlight w:val="none"/>
          <w:u w:val="single"/>
        </w:rPr>
        <w:t xml:space="preserve">       </w:t>
      </w:r>
      <w:r>
        <w:rPr>
          <w:sz w:val="24"/>
          <w:highlight w:val="none"/>
        </w:rPr>
        <w:t xml:space="preserve">月 </w:t>
      </w:r>
      <w:r>
        <w:rPr>
          <w:sz w:val="24"/>
          <w:highlight w:val="none"/>
          <w:u w:val="single"/>
        </w:rPr>
        <w:t xml:space="preserve">       </w:t>
      </w:r>
      <w:r>
        <w:rPr>
          <w:sz w:val="24"/>
          <w:highlight w:val="none"/>
        </w:rPr>
        <w:t xml:space="preserve"> 日</w:t>
      </w:r>
    </w:p>
    <w:p>
      <w:pPr>
        <w:spacing w:line="440" w:lineRule="exact"/>
        <w:ind w:firstLine="360" w:firstLineChars="150"/>
        <w:rPr>
          <w:sz w:val="24"/>
          <w:highlight w:val="none"/>
        </w:rPr>
      </w:pPr>
    </w:p>
    <w:p>
      <w:pPr>
        <w:spacing w:line="400" w:lineRule="atLeast"/>
        <w:rPr>
          <w:sz w:val="24"/>
          <w:highlight w:val="none"/>
          <w:u w:val="single"/>
        </w:rPr>
      </w:pPr>
      <w:r>
        <w:rPr>
          <w:sz w:val="24"/>
          <w:highlight w:val="none"/>
        </w:rPr>
        <w:t>委托人监督单位：</w:t>
      </w:r>
      <w:r>
        <w:rPr>
          <w:sz w:val="24"/>
          <w:highlight w:val="none"/>
          <w:u w:val="single"/>
        </w:rPr>
        <w:t>（全称）（盖单位章）</w:t>
      </w:r>
      <w:r>
        <w:rPr>
          <w:sz w:val="24"/>
          <w:highlight w:val="none"/>
        </w:rPr>
        <w:t xml:space="preserve">     </w:t>
      </w:r>
      <w:r>
        <w:rPr>
          <w:rFonts w:hint="eastAsia"/>
          <w:sz w:val="24"/>
          <w:highlight w:val="none"/>
        </w:rPr>
        <w:t>服务人</w:t>
      </w:r>
      <w:r>
        <w:rPr>
          <w:sz w:val="24"/>
          <w:highlight w:val="none"/>
        </w:rPr>
        <w:t>监督单位：</w:t>
      </w:r>
      <w:r>
        <w:rPr>
          <w:sz w:val="24"/>
          <w:highlight w:val="none"/>
          <w:u w:val="single"/>
        </w:rPr>
        <w:t>（全称） （盖单位章）</w:t>
      </w:r>
    </w:p>
    <w:p>
      <w:pPr>
        <w:spacing w:line="400" w:lineRule="atLeast"/>
        <w:rPr>
          <w:sz w:val="24"/>
          <w:highlight w:val="none"/>
        </w:rPr>
      </w:pPr>
    </w:p>
    <w:p>
      <w:pPr>
        <w:pStyle w:val="7"/>
        <w:spacing w:line="520" w:lineRule="exact"/>
        <w:ind w:firstLine="0" w:firstLineChars="0"/>
        <w:rPr>
          <w:rFonts w:ascii="黑体" w:hAnsi="黑体" w:eastAsia="黑体" w:cs="宋体"/>
          <w:sz w:val="24"/>
          <w:szCs w:val="24"/>
          <w:highlight w:val="none"/>
        </w:rPr>
      </w:pPr>
      <w:r>
        <w:rPr>
          <w:sz w:val="24"/>
          <w:highlight w:val="none"/>
        </w:rPr>
        <w:br w:type="page"/>
      </w:r>
      <w:bookmarkStart w:id="887" w:name="_Toc11719"/>
      <w:bookmarkStart w:id="888" w:name="_Toc28089"/>
      <w:r>
        <w:rPr>
          <w:rFonts w:hint="eastAsia" w:ascii="黑体" w:hAnsi="黑体" w:eastAsia="黑体" w:cs="宋体"/>
          <w:sz w:val="24"/>
          <w:szCs w:val="24"/>
          <w:highlight w:val="none"/>
        </w:rPr>
        <w:t>附件三</w:t>
      </w:r>
    </w:p>
    <w:p>
      <w:pPr>
        <w:pStyle w:val="7"/>
        <w:spacing w:line="520" w:lineRule="exact"/>
        <w:ind w:firstLine="560"/>
        <w:jc w:val="center"/>
        <w:rPr>
          <w:rFonts w:ascii="黑体" w:hAnsi="黑体" w:eastAsia="黑体" w:cs="宋体"/>
          <w:sz w:val="28"/>
          <w:szCs w:val="28"/>
          <w:highlight w:val="none"/>
        </w:rPr>
      </w:pPr>
      <w:r>
        <w:rPr>
          <w:rFonts w:hint="eastAsia" w:ascii="黑体" w:hAnsi="黑体" w:eastAsia="黑体" w:cs="宋体"/>
          <w:sz w:val="28"/>
          <w:szCs w:val="28"/>
          <w:highlight w:val="none"/>
        </w:rPr>
        <w:t>安全生产合同</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为在合同的实施过程中创造安全、高效的生产环境，切实做好本项目的安全管理工作，</w:t>
      </w:r>
      <w:r>
        <w:rPr>
          <w:rFonts w:hint="eastAsia" w:ascii="宋体" w:hAnsi="宋体" w:cs="宋体"/>
          <w:snapToGrid w:val="0"/>
          <w:kern w:val="0"/>
          <w:sz w:val="24"/>
          <w:szCs w:val="24"/>
          <w:highlight w:val="none"/>
          <w:u w:val="single"/>
        </w:rPr>
        <w:t xml:space="preserve"> </w:t>
      </w:r>
      <w:r>
        <w:rPr>
          <w:rFonts w:ascii="宋体" w:hAnsi="宋体" w:cs="宋体"/>
          <w:snapToGrid w:val="0"/>
          <w:kern w:val="0"/>
          <w:sz w:val="24"/>
          <w:szCs w:val="24"/>
          <w:highlight w:val="none"/>
          <w:u w:val="single"/>
        </w:rPr>
        <w:t xml:space="preserve">                  </w:t>
      </w:r>
      <w:r>
        <w:rPr>
          <w:rFonts w:hint="eastAsia" w:ascii="宋体" w:hAnsi="宋体" w:cs="宋体"/>
          <w:snapToGrid w:val="0"/>
          <w:kern w:val="0"/>
          <w:sz w:val="24"/>
          <w:szCs w:val="24"/>
          <w:highlight w:val="none"/>
        </w:rPr>
        <w:t>（委托人，以下简称“甲方”）与</w:t>
      </w:r>
      <w:r>
        <w:rPr>
          <w:rFonts w:hint="eastAsia" w:ascii="宋体" w:hAnsi="宋体" w:cs="宋体"/>
          <w:snapToGrid w:val="0"/>
          <w:kern w:val="0"/>
          <w:sz w:val="24"/>
          <w:szCs w:val="24"/>
          <w:highlight w:val="none"/>
          <w:u w:val="single"/>
        </w:rPr>
        <w:t xml:space="preserve">       </w:t>
      </w:r>
      <w:r>
        <w:rPr>
          <w:rFonts w:hint="eastAsia" w:ascii="宋体" w:hAnsi="宋体" w:cs="宋体"/>
          <w:snapToGrid w:val="0"/>
          <w:kern w:val="0"/>
          <w:sz w:val="24"/>
          <w:szCs w:val="24"/>
          <w:highlight w:val="none"/>
        </w:rPr>
        <w:t>（服务人，以下简称“乙方”），根据国家有关安全生产的法律法规以及甲方安全管理相关办法，特此签订安全生产合同：</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一、甲方职责</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1.严格遵守国家有关安全生产的法律法规，认真执行合同中的有关安全要求。</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2.按照“安全第一、预防为主、综合治理”的原则进行安全管理，做到工作与安全同时计划、布置、检查、总结和评比。</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3.组织对受托人现场安全检查，监督受托人及时处理发现的各种安全隐患。</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二、乙方职责</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1.严格遵守国家有关安全生产的法律法规以及甲方安全管理相关办法的有关规定，认真执行合同中的有关安全要求。</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2.坚持“安全第一、预防为主、综合治理”的原则，加强安全宣传教育，增强全员安全意识，乙方工作人员必须熟悉和遵守本条款的各项规定，并做好安全计划、布置、检查、总结和评比。</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3.建立健全安全责任制。</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4.受托人在任何时候都应采取各种合理的预防措施，防止乙方工作人员发生任何违法、违禁、暴力或妨碍治安的行为。</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5.乙方必须按照本工程项目特点，组织制定本服务实施中的安全事故应急救援预案。</w:t>
      </w:r>
    </w:p>
    <w:p>
      <w:pPr>
        <w:pStyle w:val="7"/>
        <w:spacing w:line="520" w:lineRule="exact"/>
        <w:ind w:firstLine="480"/>
        <w:rPr>
          <w:rFonts w:ascii="宋体" w:hAnsi="宋体" w:cs="宋体"/>
          <w:sz w:val="24"/>
          <w:szCs w:val="24"/>
          <w:highlight w:val="none"/>
        </w:rPr>
      </w:pPr>
      <w:r>
        <w:rPr>
          <w:rFonts w:hint="eastAsia" w:ascii="宋体" w:hAnsi="宋体" w:cs="宋体"/>
          <w:sz w:val="24"/>
          <w:szCs w:val="24"/>
          <w:highlight w:val="none"/>
        </w:rPr>
        <w:t>6.严格落实国家各级防疫政策以及委托方的防疫管理要求，在提供服务过程中做好疫情防控措施。</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三、违约责任</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1.如因甲方或乙方违约造成安全责任事故和防疫事故，将依法追究责任。</w:t>
      </w:r>
    </w:p>
    <w:p>
      <w:pPr>
        <w:widowControl/>
        <w:autoSpaceDE w:val="0"/>
        <w:autoSpaceDN w:val="0"/>
        <w:adjustRightInd w:val="0"/>
        <w:snapToGrid w:val="0"/>
        <w:spacing w:line="520" w:lineRule="exact"/>
        <w:ind w:firstLine="480" w:firstLineChars="200"/>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2.本合同壹式捌份，</w:t>
      </w:r>
      <w:r>
        <w:rPr>
          <w:rFonts w:hint="eastAsia" w:ascii="宋体" w:hAnsi="宋体" w:cs="宋体"/>
          <w:sz w:val="22"/>
          <w:szCs w:val="22"/>
          <w:highlight w:val="none"/>
        </w:rPr>
        <w:t>甲方执肆份，乙方执肆份</w:t>
      </w:r>
      <w:r>
        <w:rPr>
          <w:rFonts w:hint="eastAsia" w:ascii="宋体" w:hAnsi="宋体" w:cs="宋体"/>
          <w:snapToGrid w:val="0"/>
          <w:kern w:val="0"/>
          <w:sz w:val="24"/>
          <w:szCs w:val="24"/>
          <w:highlight w:val="none"/>
        </w:rPr>
        <w:t>，每份具有同等法律效力。</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r>
        <w:rPr>
          <w:rFonts w:hint="eastAsia" w:ascii="宋体" w:hAnsi="宋体" w:cs="宋体"/>
          <w:snapToGrid w:val="0"/>
          <w:kern w:val="0"/>
          <w:sz w:val="24"/>
          <w:szCs w:val="24"/>
          <w:highlight w:val="none"/>
        </w:rPr>
        <w:t>3.本协议书由双方法定代表人或其委托代理人签署并加盖公章后生效，自服务期限届满后失效。</w:t>
      </w: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p>
    <w:p>
      <w:pPr>
        <w:widowControl/>
        <w:autoSpaceDE w:val="0"/>
        <w:autoSpaceDN w:val="0"/>
        <w:adjustRightInd w:val="0"/>
        <w:snapToGrid w:val="0"/>
        <w:spacing w:line="520" w:lineRule="exact"/>
        <w:ind w:firstLine="480" w:firstLineChars="200"/>
        <w:jc w:val="left"/>
        <w:textAlignment w:val="baseline"/>
        <w:rPr>
          <w:rFonts w:ascii="宋体" w:hAnsi="宋体" w:cs="宋体"/>
          <w:snapToGrid w:val="0"/>
          <w:kern w:val="0"/>
          <w:sz w:val="24"/>
          <w:szCs w:val="24"/>
          <w:highlight w:val="none"/>
        </w:rPr>
      </w:pPr>
    </w:p>
    <w:p>
      <w:pPr>
        <w:widowControl/>
        <w:autoSpaceDE w:val="0"/>
        <w:autoSpaceDN w:val="0"/>
        <w:adjustRightInd w:val="0"/>
        <w:snapToGrid w:val="0"/>
        <w:spacing w:line="480" w:lineRule="exact"/>
        <w:ind w:firstLine="440"/>
        <w:jc w:val="left"/>
        <w:textAlignment w:val="baseline"/>
        <w:rPr>
          <w:rFonts w:ascii="宋体" w:hAnsi="宋体" w:cs="宋体"/>
          <w:snapToGrid w:val="0"/>
          <w:kern w:val="0"/>
          <w:sz w:val="22"/>
          <w:szCs w:val="22"/>
          <w:highlight w:val="none"/>
        </w:rPr>
      </w:pPr>
      <w:r>
        <w:rPr>
          <w:rFonts w:hint="eastAsia" w:ascii="宋体" w:hAnsi="宋体" w:cs="宋体"/>
          <w:snapToGrid w:val="0"/>
          <w:kern w:val="0"/>
          <w:sz w:val="22"/>
          <w:szCs w:val="22"/>
          <w:highlight w:val="none"/>
        </w:rPr>
        <w:t>甲方：</w:t>
      </w:r>
      <w:r>
        <w:rPr>
          <w:rFonts w:hint="eastAsia" w:ascii="宋体" w:hAnsi="宋体" w:cs="宋体"/>
          <w:snapToGrid w:val="0"/>
          <w:kern w:val="0"/>
          <w:sz w:val="22"/>
          <w:szCs w:val="22"/>
          <w:highlight w:val="none"/>
          <w:u w:val="single"/>
        </w:rPr>
        <w:t xml:space="preserve">              </w:t>
      </w:r>
      <w:r>
        <w:rPr>
          <w:rFonts w:hint="eastAsia" w:ascii="宋体" w:hAnsi="宋体" w:cs="宋体"/>
          <w:snapToGrid w:val="0"/>
          <w:kern w:val="0"/>
          <w:sz w:val="22"/>
          <w:szCs w:val="22"/>
          <w:highlight w:val="none"/>
        </w:rPr>
        <w:t>(盖章）</w:t>
      </w:r>
    </w:p>
    <w:p>
      <w:pPr>
        <w:widowControl/>
        <w:autoSpaceDE w:val="0"/>
        <w:autoSpaceDN w:val="0"/>
        <w:adjustRightInd w:val="0"/>
        <w:snapToGrid w:val="0"/>
        <w:spacing w:line="480" w:lineRule="exact"/>
        <w:ind w:firstLine="440" w:firstLineChars="200"/>
        <w:jc w:val="left"/>
        <w:textAlignment w:val="baseline"/>
        <w:rPr>
          <w:rFonts w:ascii="宋体" w:hAnsi="宋体" w:cs="宋体"/>
          <w:snapToGrid w:val="0"/>
          <w:kern w:val="0"/>
          <w:sz w:val="22"/>
          <w:szCs w:val="22"/>
          <w:highlight w:val="none"/>
        </w:rPr>
      </w:pPr>
      <w:r>
        <w:rPr>
          <w:rFonts w:hint="eastAsia" w:ascii="宋体" w:hAnsi="宋体" w:cs="宋体"/>
          <w:snapToGrid w:val="0"/>
          <w:kern w:val="0"/>
          <w:sz w:val="22"/>
          <w:szCs w:val="22"/>
          <w:highlight w:val="none"/>
        </w:rPr>
        <w:t>法定代表人或其委托代理人：（签字）</w:t>
      </w:r>
    </w:p>
    <w:p>
      <w:pPr>
        <w:widowControl/>
        <w:autoSpaceDE w:val="0"/>
        <w:autoSpaceDN w:val="0"/>
        <w:adjustRightInd w:val="0"/>
        <w:snapToGrid w:val="0"/>
        <w:spacing w:line="480" w:lineRule="exact"/>
        <w:ind w:firstLine="1320" w:firstLineChars="600"/>
        <w:jc w:val="left"/>
        <w:textAlignment w:val="baseline"/>
        <w:rPr>
          <w:rFonts w:ascii="宋体" w:hAnsi="宋体" w:cs="宋体"/>
          <w:snapToGrid w:val="0"/>
          <w:kern w:val="0"/>
          <w:sz w:val="22"/>
          <w:szCs w:val="22"/>
          <w:highlight w:val="none"/>
        </w:rPr>
      </w:pPr>
      <w:r>
        <w:rPr>
          <w:rFonts w:hint="eastAsia" w:ascii="宋体" w:hAnsi="宋体" w:cs="宋体"/>
          <w:snapToGrid w:val="0"/>
          <w:kern w:val="0"/>
          <w:sz w:val="22"/>
          <w:szCs w:val="22"/>
          <w:highlight w:val="none"/>
          <w:u w:val="single"/>
        </w:rPr>
        <w:t xml:space="preserve">       </w:t>
      </w:r>
      <w:r>
        <w:rPr>
          <w:rFonts w:hint="eastAsia" w:ascii="宋体" w:hAnsi="宋体" w:cs="宋体"/>
          <w:snapToGrid w:val="0"/>
          <w:kern w:val="0"/>
          <w:sz w:val="22"/>
          <w:szCs w:val="22"/>
          <w:highlight w:val="none"/>
        </w:rPr>
        <w:t>年</w:t>
      </w:r>
      <w:r>
        <w:rPr>
          <w:rFonts w:hint="eastAsia" w:ascii="宋体" w:hAnsi="宋体" w:cs="宋体"/>
          <w:snapToGrid w:val="0"/>
          <w:kern w:val="0"/>
          <w:sz w:val="22"/>
          <w:szCs w:val="22"/>
          <w:highlight w:val="none"/>
          <w:u w:val="single"/>
        </w:rPr>
        <w:t xml:space="preserve">      </w:t>
      </w:r>
      <w:r>
        <w:rPr>
          <w:rFonts w:hint="eastAsia" w:ascii="宋体" w:hAnsi="宋体" w:cs="宋体"/>
          <w:snapToGrid w:val="0"/>
          <w:kern w:val="0"/>
          <w:sz w:val="22"/>
          <w:szCs w:val="22"/>
          <w:highlight w:val="none"/>
        </w:rPr>
        <w:t>月</w:t>
      </w:r>
      <w:r>
        <w:rPr>
          <w:rFonts w:hint="eastAsia" w:ascii="宋体" w:hAnsi="宋体" w:cs="宋体"/>
          <w:snapToGrid w:val="0"/>
          <w:kern w:val="0"/>
          <w:sz w:val="22"/>
          <w:szCs w:val="22"/>
          <w:highlight w:val="none"/>
          <w:u w:val="single"/>
        </w:rPr>
        <w:t xml:space="preserve">      </w:t>
      </w:r>
      <w:r>
        <w:rPr>
          <w:rFonts w:hint="eastAsia" w:ascii="宋体" w:hAnsi="宋体" w:cs="宋体"/>
          <w:snapToGrid w:val="0"/>
          <w:kern w:val="0"/>
          <w:sz w:val="22"/>
          <w:szCs w:val="22"/>
          <w:highlight w:val="none"/>
        </w:rPr>
        <w:t>日</w:t>
      </w:r>
    </w:p>
    <w:p>
      <w:pPr>
        <w:widowControl/>
        <w:autoSpaceDE w:val="0"/>
        <w:autoSpaceDN w:val="0"/>
        <w:adjustRightInd w:val="0"/>
        <w:snapToGrid w:val="0"/>
        <w:spacing w:line="480" w:lineRule="exact"/>
        <w:ind w:firstLine="440"/>
        <w:jc w:val="left"/>
        <w:textAlignment w:val="baseline"/>
        <w:rPr>
          <w:rFonts w:ascii="宋体" w:hAnsi="宋体" w:cs="宋体"/>
          <w:snapToGrid w:val="0"/>
          <w:kern w:val="0"/>
          <w:sz w:val="22"/>
          <w:szCs w:val="22"/>
          <w:highlight w:val="none"/>
        </w:rPr>
      </w:pPr>
    </w:p>
    <w:p>
      <w:pPr>
        <w:widowControl/>
        <w:tabs>
          <w:tab w:val="left" w:pos="3402"/>
        </w:tabs>
        <w:autoSpaceDE w:val="0"/>
        <w:autoSpaceDN w:val="0"/>
        <w:adjustRightInd w:val="0"/>
        <w:snapToGrid w:val="0"/>
        <w:spacing w:line="480" w:lineRule="exact"/>
        <w:ind w:firstLine="440"/>
        <w:jc w:val="left"/>
        <w:textAlignment w:val="baseline"/>
        <w:rPr>
          <w:rFonts w:ascii="宋体" w:hAnsi="宋体" w:cs="宋体"/>
          <w:snapToGrid w:val="0"/>
          <w:kern w:val="0"/>
          <w:sz w:val="22"/>
          <w:szCs w:val="22"/>
          <w:highlight w:val="none"/>
        </w:rPr>
      </w:pPr>
    </w:p>
    <w:p>
      <w:pPr>
        <w:widowControl/>
        <w:tabs>
          <w:tab w:val="left" w:pos="3402"/>
        </w:tabs>
        <w:autoSpaceDE w:val="0"/>
        <w:autoSpaceDN w:val="0"/>
        <w:adjustRightInd w:val="0"/>
        <w:snapToGrid w:val="0"/>
        <w:spacing w:line="480" w:lineRule="exact"/>
        <w:ind w:firstLine="440"/>
        <w:jc w:val="left"/>
        <w:textAlignment w:val="baseline"/>
        <w:rPr>
          <w:rFonts w:ascii="宋体" w:hAnsi="宋体" w:cs="宋体"/>
          <w:snapToGrid w:val="0"/>
          <w:kern w:val="0"/>
          <w:sz w:val="22"/>
          <w:szCs w:val="22"/>
          <w:highlight w:val="none"/>
        </w:rPr>
      </w:pPr>
      <w:r>
        <w:rPr>
          <w:rFonts w:hint="eastAsia" w:ascii="宋体" w:hAnsi="宋体" w:cs="宋体"/>
          <w:snapToGrid w:val="0"/>
          <w:kern w:val="0"/>
          <w:sz w:val="22"/>
          <w:szCs w:val="22"/>
          <w:highlight w:val="none"/>
        </w:rPr>
        <w:t>乙方：</w:t>
      </w:r>
      <w:r>
        <w:rPr>
          <w:rFonts w:hint="eastAsia" w:ascii="宋体" w:hAnsi="宋体" w:cs="宋体"/>
          <w:snapToGrid w:val="0"/>
          <w:kern w:val="0"/>
          <w:sz w:val="22"/>
          <w:szCs w:val="22"/>
          <w:highlight w:val="none"/>
          <w:u w:val="single"/>
        </w:rPr>
        <w:t xml:space="preserve">              </w:t>
      </w:r>
      <w:r>
        <w:rPr>
          <w:rFonts w:hint="eastAsia" w:ascii="宋体" w:hAnsi="宋体" w:cs="宋体"/>
          <w:snapToGrid w:val="0"/>
          <w:kern w:val="0"/>
          <w:sz w:val="22"/>
          <w:szCs w:val="22"/>
          <w:highlight w:val="none"/>
        </w:rPr>
        <w:t>(盖章)</w:t>
      </w:r>
    </w:p>
    <w:p>
      <w:pPr>
        <w:widowControl/>
        <w:autoSpaceDE w:val="0"/>
        <w:autoSpaceDN w:val="0"/>
        <w:adjustRightInd w:val="0"/>
        <w:snapToGrid w:val="0"/>
        <w:spacing w:line="480" w:lineRule="exact"/>
        <w:ind w:firstLine="440" w:firstLineChars="200"/>
        <w:jc w:val="left"/>
        <w:textAlignment w:val="baseline"/>
        <w:rPr>
          <w:rFonts w:ascii="宋体" w:hAnsi="宋体" w:cs="宋体"/>
          <w:snapToGrid w:val="0"/>
          <w:kern w:val="0"/>
          <w:sz w:val="22"/>
          <w:szCs w:val="22"/>
          <w:highlight w:val="none"/>
        </w:rPr>
      </w:pPr>
      <w:r>
        <w:rPr>
          <w:rFonts w:hint="eastAsia" w:ascii="宋体" w:hAnsi="宋体" w:cs="宋体"/>
          <w:snapToGrid w:val="0"/>
          <w:kern w:val="0"/>
          <w:sz w:val="22"/>
          <w:szCs w:val="22"/>
          <w:highlight w:val="none"/>
        </w:rPr>
        <w:t>法定代表人或其委托代理人：（签字）</w:t>
      </w:r>
    </w:p>
    <w:p>
      <w:pPr>
        <w:widowControl/>
        <w:autoSpaceDE w:val="0"/>
        <w:autoSpaceDN w:val="0"/>
        <w:adjustRightInd w:val="0"/>
        <w:snapToGrid w:val="0"/>
        <w:spacing w:line="480" w:lineRule="exact"/>
        <w:ind w:firstLine="1320" w:firstLineChars="600"/>
        <w:jc w:val="left"/>
        <w:textAlignment w:val="baseline"/>
        <w:rPr>
          <w:rFonts w:ascii="宋体" w:hAnsi="宋体" w:cs="宋体"/>
          <w:snapToGrid w:val="0"/>
          <w:kern w:val="0"/>
          <w:sz w:val="22"/>
          <w:szCs w:val="22"/>
          <w:highlight w:val="none"/>
        </w:rPr>
        <w:sectPr>
          <w:headerReference r:id="rId16" w:type="default"/>
          <w:footerReference r:id="rId18" w:type="default"/>
          <w:headerReference r:id="rId17" w:type="even"/>
          <w:footerReference r:id="rId19" w:type="even"/>
          <w:footnotePr>
            <w:numFmt w:val="decimalEnclosedCircleChinese"/>
            <w:numRestart w:val="eachPage"/>
          </w:footnotePr>
          <w:pgSz w:w="11907" w:h="16840"/>
          <w:pgMar w:top="1588" w:right="1588" w:bottom="1474" w:left="1644" w:header="851" w:footer="851" w:gutter="0"/>
          <w:pgBorders>
            <w:top w:val="none" w:sz="0" w:space="0"/>
            <w:left w:val="none" w:sz="0" w:space="0"/>
            <w:bottom w:val="none" w:sz="0" w:space="0"/>
            <w:right w:val="none" w:sz="0" w:space="0"/>
          </w:pgBorders>
          <w:cols w:space="425" w:num="1"/>
          <w:docGrid w:linePitch="312" w:charSpace="0"/>
        </w:sectPr>
      </w:pPr>
      <w:r>
        <w:rPr>
          <w:rFonts w:hint="eastAsia" w:ascii="宋体" w:hAnsi="宋体" w:cs="宋体"/>
          <w:snapToGrid w:val="0"/>
          <w:kern w:val="0"/>
          <w:sz w:val="22"/>
          <w:szCs w:val="22"/>
          <w:highlight w:val="none"/>
          <w:u w:val="single"/>
        </w:rPr>
        <w:t xml:space="preserve">        </w:t>
      </w:r>
      <w:r>
        <w:rPr>
          <w:rFonts w:hint="eastAsia" w:ascii="宋体" w:hAnsi="宋体" w:cs="宋体"/>
          <w:snapToGrid w:val="0"/>
          <w:kern w:val="0"/>
          <w:sz w:val="22"/>
          <w:szCs w:val="22"/>
          <w:highlight w:val="none"/>
        </w:rPr>
        <w:t>年</w:t>
      </w:r>
      <w:r>
        <w:rPr>
          <w:rFonts w:hint="eastAsia" w:ascii="宋体" w:hAnsi="宋体" w:cs="宋体"/>
          <w:snapToGrid w:val="0"/>
          <w:kern w:val="0"/>
          <w:sz w:val="22"/>
          <w:szCs w:val="22"/>
          <w:highlight w:val="none"/>
          <w:u w:val="single"/>
        </w:rPr>
        <w:t xml:space="preserve">      </w:t>
      </w:r>
      <w:r>
        <w:rPr>
          <w:rFonts w:hint="eastAsia" w:ascii="宋体" w:hAnsi="宋体" w:cs="宋体"/>
          <w:snapToGrid w:val="0"/>
          <w:kern w:val="0"/>
          <w:sz w:val="22"/>
          <w:szCs w:val="22"/>
          <w:highlight w:val="none"/>
        </w:rPr>
        <w:t>月</w:t>
      </w:r>
      <w:r>
        <w:rPr>
          <w:rFonts w:hint="eastAsia" w:ascii="宋体" w:hAnsi="宋体" w:cs="宋体"/>
          <w:snapToGrid w:val="0"/>
          <w:kern w:val="0"/>
          <w:sz w:val="22"/>
          <w:szCs w:val="22"/>
          <w:highlight w:val="none"/>
          <w:u w:val="single"/>
        </w:rPr>
        <w:t xml:space="preserve">      </w:t>
      </w:r>
      <w:r>
        <w:rPr>
          <w:rFonts w:hint="eastAsia" w:ascii="宋体" w:hAnsi="宋体" w:cs="宋体"/>
          <w:snapToGrid w:val="0"/>
          <w:kern w:val="0"/>
          <w:sz w:val="22"/>
          <w:szCs w:val="22"/>
          <w:highlight w:val="none"/>
        </w:rPr>
        <w:t>日</w:t>
      </w:r>
    </w:p>
    <w:p>
      <w:pPr>
        <w:pStyle w:val="107"/>
        <w:spacing w:before="260" w:after="260" w:line="440" w:lineRule="atLeast"/>
        <w:ind w:firstLine="117" w:firstLineChars="49"/>
        <w:rPr>
          <w:rFonts w:ascii="Times New Roman" w:hAnsi="Times New Roman" w:eastAsia="黑体"/>
          <w:sz w:val="24"/>
          <w:szCs w:val="24"/>
          <w:highlight w:val="none"/>
          <w:lang w:eastAsia="zh-CN"/>
        </w:rPr>
      </w:pPr>
      <w:r>
        <w:rPr>
          <w:rFonts w:ascii="Times New Roman" w:hAnsi="Times New Roman" w:eastAsia="黑体"/>
          <w:sz w:val="24"/>
          <w:szCs w:val="24"/>
          <w:highlight w:val="none"/>
          <w:lang w:eastAsia="zh-CN"/>
        </w:rPr>
        <w:t>附件</w:t>
      </w:r>
      <w:r>
        <w:rPr>
          <w:rFonts w:hint="eastAsia" w:ascii="Times New Roman" w:hAnsi="Times New Roman" w:eastAsia="黑体"/>
          <w:sz w:val="24"/>
          <w:szCs w:val="24"/>
          <w:highlight w:val="none"/>
          <w:lang w:eastAsia="zh-CN"/>
        </w:rPr>
        <w:t>四</w:t>
      </w:r>
      <w:r>
        <w:rPr>
          <w:rFonts w:ascii="Times New Roman" w:hAnsi="Times New Roman" w:eastAsia="黑体"/>
          <w:sz w:val="24"/>
          <w:szCs w:val="24"/>
          <w:highlight w:val="none"/>
          <w:lang w:eastAsia="zh-CN"/>
        </w:rPr>
        <w:t xml:space="preserve"> 履约保证金格式</w:t>
      </w:r>
      <w:bookmarkEnd w:id="885"/>
      <w:bookmarkEnd w:id="887"/>
      <w:bookmarkEnd w:id="888"/>
    </w:p>
    <w:p>
      <w:pPr>
        <w:spacing w:line="440" w:lineRule="atLeast"/>
        <w:jc w:val="left"/>
        <w:rPr>
          <w:sz w:val="24"/>
          <w:highlight w:val="none"/>
        </w:rPr>
      </w:pPr>
      <w:r>
        <w:rPr>
          <w:sz w:val="24"/>
          <w:highlight w:val="none"/>
        </w:rPr>
        <w:t>如采用银行保函，格式如下。</w:t>
      </w:r>
    </w:p>
    <w:p>
      <w:pPr>
        <w:spacing w:line="440" w:lineRule="atLeast"/>
        <w:jc w:val="center"/>
        <w:rPr>
          <w:rFonts w:eastAsia="黑体"/>
          <w:sz w:val="28"/>
          <w:szCs w:val="28"/>
          <w:highlight w:val="none"/>
        </w:rPr>
      </w:pPr>
      <w:r>
        <w:rPr>
          <w:rFonts w:eastAsia="黑体"/>
          <w:sz w:val="28"/>
          <w:szCs w:val="28"/>
          <w:highlight w:val="none"/>
        </w:rPr>
        <w:t>履约保证金</w:t>
      </w:r>
    </w:p>
    <w:p>
      <w:pPr>
        <w:spacing w:line="440" w:lineRule="atLeast"/>
        <w:rPr>
          <w:sz w:val="24"/>
          <w:highlight w:val="none"/>
        </w:rPr>
      </w:pPr>
    </w:p>
    <w:p>
      <w:pPr>
        <w:spacing w:line="440" w:lineRule="atLeast"/>
        <w:rPr>
          <w:sz w:val="24"/>
          <w:highlight w:val="none"/>
        </w:rPr>
      </w:pPr>
      <w:r>
        <w:rPr>
          <w:sz w:val="24"/>
          <w:highlight w:val="none"/>
        </w:rPr>
        <w:t xml:space="preserve"> </w:t>
      </w:r>
      <w:r>
        <w:rPr>
          <w:sz w:val="24"/>
          <w:highlight w:val="none"/>
          <w:u w:val="single"/>
        </w:rPr>
        <w:t xml:space="preserve">            </w:t>
      </w:r>
      <w:r>
        <w:rPr>
          <w:sz w:val="24"/>
          <w:highlight w:val="none"/>
          <w:u w:val="single"/>
        </w:rPr>
        <w:tab/>
      </w:r>
      <w:r>
        <w:rPr>
          <w:sz w:val="24"/>
          <w:highlight w:val="none"/>
          <w:u w:val="single"/>
        </w:rPr>
        <w:tab/>
      </w:r>
      <w:r>
        <w:rPr>
          <w:sz w:val="24"/>
          <w:highlight w:val="none"/>
          <w:u w:val="single"/>
        </w:rPr>
        <w:t xml:space="preserve">  </w:t>
      </w:r>
      <w:r>
        <w:rPr>
          <w:sz w:val="24"/>
          <w:highlight w:val="none"/>
        </w:rPr>
        <w:t>（委托人名称）：</w:t>
      </w:r>
    </w:p>
    <w:p>
      <w:pPr>
        <w:spacing w:line="440" w:lineRule="atLeast"/>
        <w:rPr>
          <w:sz w:val="24"/>
          <w:highlight w:val="none"/>
        </w:rPr>
      </w:pPr>
    </w:p>
    <w:p>
      <w:pPr>
        <w:spacing w:line="440" w:lineRule="atLeast"/>
        <w:ind w:firstLine="600" w:firstLineChars="250"/>
        <w:rPr>
          <w:sz w:val="24"/>
          <w:highlight w:val="none"/>
        </w:rPr>
      </w:pPr>
      <w:r>
        <w:rPr>
          <w:sz w:val="24"/>
          <w:highlight w:val="none"/>
        </w:rPr>
        <w:t>鉴于</w:t>
      </w:r>
      <w:r>
        <w:rPr>
          <w:sz w:val="24"/>
          <w:highlight w:val="none"/>
          <w:u w:val="single"/>
        </w:rPr>
        <w:t xml:space="preserve">                </w:t>
      </w:r>
      <w:r>
        <w:rPr>
          <w:sz w:val="24"/>
          <w:highlight w:val="none"/>
        </w:rPr>
        <w:t>（委托人名称，以下简称“委托人”）接受</w:t>
      </w:r>
      <w:r>
        <w:rPr>
          <w:sz w:val="24"/>
          <w:highlight w:val="none"/>
          <w:u w:val="single"/>
        </w:rPr>
        <w:t xml:space="preserve">        </w:t>
      </w:r>
      <w:r>
        <w:rPr>
          <w:sz w:val="24"/>
          <w:highlight w:val="none"/>
        </w:rPr>
        <w:t>（</w:t>
      </w:r>
      <w:r>
        <w:rPr>
          <w:rFonts w:hint="eastAsia"/>
          <w:sz w:val="24"/>
          <w:highlight w:val="none"/>
        </w:rPr>
        <w:t>服务人</w:t>
      </w:r>
      <w:r>
        <w:rPr>
          <w:sz w:val="24"/>
          <w:highlight w:val="none"/>
        </w:rPr>
        <w:t>名称）（以下称“</w:t>
      </w:r>
      <w:r>
        <w:rPr>
          <w:rFonts w:hint="eastAsia"/>
          <w:sz w:val="24"/>
          <w:highlight w:val="none"/>
        </w:rPr>
        <w:t>服务人</w:t>
      </w:r>
      <w:r>
        <w:rPr>
          <w:sz w:val="24"/>
          <w:highlight w:val="none"/>
        </w:rPr>
        <w:t>”）于</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日参加</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w:t>
      </w:r>
      <w:r>
        <w:rPr>
          <w:rFonts w:hint="eastAsia"/>
          <w:sz w:val="24"/>
          <w:highlight w:val="none"/>
        </w:rPr>
        <w:t>服务</w:t>
      </w:r>
      <w:r>
        <w:rPr>
          <w:sz w:val="24"/>
          <w:highlight w:val="none"/>
        </w:rPr>
        <w:t>的投标。我方愿意无条件地、不可撤销地就</w:t>
      </w:r>
      <w:r>
        <w:rPr>
          <w:rFonts w:hint="eastAsia"/>
          <w:sz w:val="24"/>
          <w:highlight w:val="none"/>
        </w:rPr>
        <w:t>服务人</w:t>
      </w:r>
      <w:r>
        <w:rPr>
          <w:sz w:val="24"/>
          <w:highlight w:val="none"/>
        </w:rPr>
        <w:t>履行与你方订立的合同，向你方提供担保。</w:t>
      </w:r>
    </w:p>
    <w:p>
      <w:pPr>
        <w:spacing w:line="440" w:lineRule="atLeast"/>
        <w:ind w:firstLine="480" w:firstLineChars="200"/>
        <w:rPr>
          <w:sz w:val="24"/>
          <w:highlight w:val="none"/>
        </w:rPr>
      </w:pPr>
      <w:r>
        <w:rPr>
          <w:sz w:val="24"/>
          <w:highlight w:val="none"/>
        </w:rPr>
        <w:t>1. 担保金额人民币（大写）</w:t>
      </w:r>
      <w:r>
        <w:rPr>
          <w:sz w:val="24"/>
          <w:highlight w:val="none"/>
          <w:u w:val="single"/>
        </w:rPr>
        <w:t xml:space="preserve">                </w:t>
      </w:r>
      <w:r>
        <w:rPr>
          <w:sz w:val="24"/>
          <w:highlight w:val="none"/>
        </w:rPr>
        <w:t xml:space="preserve"> 元（¥</w:t>
      </w:r>
      <w:r>
        <w:rPr>
          <w:sz w:val="24"/>
          <w:highlight w:val="none"/>
          <w:u w:val="single"/>
        </w:rPr>
        <w:t xml:space="preserve">             </w:t>
      </w:r>
      <w:r>
        <w:rPr>
          <w:sz w:val="24"/>
          <w:highlight w:val="none"/>
        </w:rPr>
        <w:t>）。</w:t>
      </w:r>
    </w:p>
    <w:p>
      <w:pPr>
        <w:spacing w:line="440" w:lineRule="atLeast"/>
        <w:ind w:firstLine="480" w:firstLineChars="200"/>
        <w:rPr>
          <w:sz w:val="24"/>
          <w:highlight w:val="none"/>
        </w:rPr>
      </w:pPr>
      <w:r>
        <w:rPr>
          <w:sz w:val="24"/>
          <w:highlight w:val="none"/>
        </w:rPr>
        <w:t>2. 担保有效期自委托人与</w:t>
      </w:r>
      <w:r>
        <w:rPr>
          <w:rFonts w:hint="eastAsia"/>
          <w:sz w:val="24"/>
          <w:highlight w:val="none"/>
        </w:rPr>
        <w:t>服务人</w:t>
      </w:r>
      <w:r>
        <w:rPr>
          <w:sz w:val="24"/>
          <w:highlight w:val="none"/>
        </w:rPr>
        <w:t>签订的合同生效之日起至委托人签发交工验收证书且</w:t>
      </w:r>
      <w:r>
        <w:rPr>
          <w:rFonts w:hint="eastAsia"/>
          <w:sz w:val="24"/>
          <w:highlight w:val="none"/>
        </w:rPr>
        <w:t>服务人</w:t>
      </w:r>
      <w:r>
        <w:rPr>
          <w:sz w:val="24"/>
          <w:highlight w:val="none"/>
        </w:rPr>
        <w:t>按照合同约定提交缺陷责任期保函之日止。</w:t>
      </w:r>
      <w:r>
        <w:rPr>
          <w:rStyle w:val="48"/>
          <w:rFonts w:eastAsia="黑体"/>
          <w:sz w:val="28"/>
          <w:szCs w:val="28"/>
          <w:highlight w:val="none"/>
        </w:rPr>
        <w:footnoteReference w:id="12"/>
      </w:r>
    </w:p>
    <w:p>
      <w:pPr>
        <w:spacing w:line="440" w:lineRule="atLeast"/>
        <w:ind w:firstLine="480" w:firstLineChars="200"/>
        <w:rPr>
          <w:sz w:val="24"/>
          <w:highlight w:val="none"/>
        </w:rPr>
      </w:pPr>
      <w:r>
        <w:rPr>
          <w:sz w:val="24"/>
          <w:highlight w:val="none"/>
        </w:rPr>
        <w:t>3. 在本担保有效期内，因</w:t>
      </w:r>
      <w:r>
        <w:rPr>
          <w:rFonts w:hint="eastAsia"/>
          <w:sz w:val="24"/>
          <w:highlight w:val="none"/>
        </w:rPr>
        <w:t>服务人</w:t>
      </w:r>
      <w:r>
        <w:rPr>
          <w:sz w:val="24"/>
          <w:highlight w:val="none"/>
        </w:rPr>
        <w:t>违反合同约定的义务给你方造成经济损失时，我方在收到你方以书面形式提出的在担保金额内的赔偿要求后，在7天内无条件支付，无须你方出具证明或陈述理由。</w:t>
      </w:r>
    </w:p>
    <w:p>
      <w:pPr>
        <w:spacing w:line="440" w:lineRule="atLeast"/>
        <w:ind w:firstLine="480" w:firstLineChars="200"/>
        <w:rPr>
          <w:sz w:val="24"/>
          <w:highlight w:val="none"/>
        </w:rPr>
      </w:pPr>
      <w:r>
        <w:rPr>
          <w:sz w:val="24"/>
          <w:highlight w:val="none"/>
        </w:rPr>
        <w:t>4. 委托人和</w:t>
      </w:r>
      <w:r>
        <w:rPr>
          <w:rFonts w:hint="eastAsia"/>
          <w:sz w:val="24"/>
          <w:highlight w:val="none"/>
        </w:rPr>
        <w:t>服务人</w:t>
      </w:r>
      <w:r>
        <w:rPr>
          <w:sz w:val="24"/>
          <w:highlight w:val="none"/>
        </w:rPr>
        <w:t>按合同条款变更合同时，我方承担本担保规定的义务不变。</w:t>
      </w:r>
    </w:p>
    <w:p>
      <w:pPr>
        <w:spacing w:line="440" w:lineRule="atLeast"/>
        <w:rPr>
          <w:sz w:val="24"/>
          <w:highlight w:val="none"/>
        </w:rPr>
      </w:pPr>
    </w:p>
    <w:p>
      <w:pPr>
        <w:spacing w:line="440" w:lineRule="atLeast"/>
        <w:rPr>
          <w:sz w:val="24"/>
          <w:highlight w:val="none"/>
        </w:rPr>
      </w:pPr>
    </w:p>
    <w:p>
      <w:pPr>
        <w:spacing w:line="440" w:lineRule="atLeast"/>
        <w:ind w:firstLine="3496" w:firstLineChars="1457"/>
        <w:rPr>
          <w:sz w:val="24"/>
          <w:highlight w:val="none"/>
        </w:rPr>
      </w:pPr>
      <w:r>
        <w:rPr>
          <w:sz w:val="24"/>
          <w:highlight w:val="none"/>
        </w:rPr>
        <w:t>担 保 人：</w:t>
      </w:r>
      <w:r>
        <w:rPr>
          <w:sz w:val="24"/>
          <w:highlight w:val="none"/>
          <w:u w:val="single"/>
        </w:rPr>
        <w:t xml:space="preserve">                       </w:t>
      </w:r>
      <w:r>
        <w:rPr>
          <w:sz w:val="24"/>
          <w:highlight w:val="none"/>
        </w:rPr>
        <w:t>（盖单位章）</w:t>
      </w:r>
    </w:p>
    <w:p>
      <w:pPr>
        <w:spacing w:line="440" w:lineRule="atLeast"/>
        <w:ind w:firstLine="3496" w:firstLineChars="1457"/>
        <w:rPr>
          <w:sz w:val="24"/>
          <w:highlight w:val="none"/>
        </w:rPr>
      </w:pPr>
      <w:r>
        <w:rPr>
          <w:sz w:val="24"/>
          <w:highlight w:val="none"/>
        </w:rPr>
        <w:t>法定代表人或其委托代理人：</w:t>
      </w:r>
      <w:r>
        <w:rPr>
          <w:sz w:val="24"/>
          <w:highlight w:val="none"/>
          <w:u w:val="single"/>
        </w:rPr>
        <w:t xml:space="preserve">           </w:t>
      </w:r>
      <w:r>
        <w:rPr>
          <w:sz w:val="24"/>
          <w:highlight w:val="none"/>
        </w:rPr>
        <w:t>（签字）</w:t>
      </w:r>
    </w:p>
    <w:p>
      <w:pPr>
        <w:spacing w:line="440" w:lineRule="atLeast"/>
        <w:ind w:firstLine="3496" w:firstLineChars="1457"/>
        <w:rPr>
          <w:sz w:val="24"/>
          <w:highlight w:val="none"/>
        </w:rPr>
      </w:pPr>
      <w:r>
        <w:rPr>
          <w:sz w:val="24"/>
          <w:highlight w:val="none"/>
        </w:rPr>
        <w:t>地    址：</w:t>
      </w:r>
      <w:r>
        <w:rPr>
          <w:sz w:val="24"/>
          <w:highlight w:val="none"/>
          <w:u w:val="single"/>
        </w:rPr>
        <w:tab/>
      </w:r>
      <w:r>
        <w:rPr>
          <w:sz w:val="24"/>
          <w:highlight w:val="none"/>
          <w:u w:val="single"/>
        </w:rPr>
        <w:tab/>
      </w:r>
      <w:r>
        <w:rPr>
          <w:sz w:val="24"/>
          <w:highlight w:val="none"/>
          <w:u w:val="single"/>
        </w:rPr>
        <w:tab/>
      </w:r>
      <w:r>
        <w:rPr>
          <w:sz w:val="24"/>
          <w:highlight w:val="none"/>
          <w:u w:val="single"/>
        </w:rPr>
        <w:t xml:space="preserve">            </w:t>
      </w:r>
      <w:r>
        <w:rPr>
          <w:sz w:val="24"/>
          <w:highlight w:val="none"/>
          <w:u w:val="single"/>
        </w:rPr>
        <w:tab/>
      </w:r>
      <w:r>
        <w:rPr>
          <w:sz w:val="24"/>
          <w:highlight w:val="none"/>
          <w:u w:val="single"/>
        </w:rPr>
        <w:tab/>
      </w:r>
      <w:r>
        <w:rPr>
          <w:sz w:val="24"/>
          <w:highlight w:val="none"/>
          <w:u w:val="single"/>
        </w:rPr>
        <w:tab/>
      </w:r>
    </w:p>
    <w:p>
      <w:pPr>
        <w:spacing w:line="440" w:lineRule="atLeast"/>
        <w:ind w:firstLine="3496" w:firstLineChars="1457"/>
        <w:rPr>
          <w:sz w:val="24"/>
          <w:highlight w:val="none"/>
        </w:rPr>
      </w:pPr>
      <w:r>
        <w:rPr>
          <w:sz w:val="24"/>
          <w:highlight w:val="none"/>
        </w:rPr>
        <w:t>邮政编码：</w:t>
      </w:r>
      <w:r>
        <w:rPr>
          <w:sz w:val="24"/>
          <w:highlight w:val="none"/>
          <w:u w:val="single"/>
        </w:rPr>
        <w:tab/>
      </w:r>
      <w:r>
        <w:rPr>
          <w:sz w:val="24"/>
          <w:highlight w:val="none"/>
          <w:u w:val="single"/>
        </w:rPr>
        <w:tab/>
      </w:r>
      <w:r>
        <w:rPr>
          <w:sz w:val="24"/>
          <w:highlight w:val="none"/>
          <w:u w:val="single"/>
        </w:rPr>
        <w:tab/>
      </w:r>
      <w:r>
        <w:rPr>
          <w:sz w:val="24"/>
          <w:highlight w:val="none"/>
          <w:u w:val="single"/>
        </w:rPr>
        <w:tab/>
      </w:r>
      <w:r>
        <w:rPr>
          <w:sz w:val="24"/>
          <w:highlight w:val="none"/>
          <w:u w:val="single"/>
        </w:rPr>
        <w:tab/>
      </w:r>
      <w:r>
        <w:rPr>
          <w:sz w:val="24"/>
          <w:highlight w:val="none"/>
          <w:u w:val="single"/>
        </w:rPr>
        <w:tab/>
      </w:r>
      <w:r>
        <w:rPr>
          <w:sz w:val="24"/>
          <w:highlight w:val="none"/>
          <w:u w:val="single"/>
        </w:rPr>
        <w:tab/>
      </w:r>
      <w:r>
        <w:rPr>
          <w:sz w:val="24"/>
          <w:highlight w:val="none"/>
          <w:u w:val="single"/>
        </w:rPr>
        <w:tab/>
      </w:r>
      <w:r>
        <w:rPr>
          <w:sz w:val="24"/>
          <w:highlight w:val="none"/>
          <w:u w:val="single"/>
        </w:rPr>
        <w:tab/>
      </w:r>
    </w:p>
    <w:p>
      <w:pPr>
        <w:spacing w:line="440" w:lineRule="atLeast"/>
        <w:ind w:firstLine="3496" w:firstLineChars="1457"/>
        <w:rPr>
          <w:sz w:val="24"/>
          <w:highlight w:val="none"/>
        </w:rPr>
      </w:pPr>
      <w:r>
        <w:rPr>
          <w:sz w:val="24"/>
          <w:highlight w:val="none"/>
        </w:rPr>
        <w:t>电    话：</w:t>
      </w:r>
      <w:r>
        <w:rPr>
          <w:sz w:val="24"/>
          <w:highlight w:val="none"/>
          <w:u w:val="single"/>
        </w:rPr>
        <w:t xml:space="preserve">                                </w:t>
      </w:r>
      <w:r>
        <w:rPr>
          <w:sz w:val="24"/>
          <w:highlight w:val="none"/>
        </w:rPr>
        <w:t xml:space="preserve"> </w:t>
      </w:r>
    </w:p>
    <w:p>
      <w:pPr>
        <w:spacing w:line="440" w:lineRule="atLeast"/>
        <w:ind w:firstLine="3496" w:firstLineChars="1457"/>
        <w:rPr>
          <w:sz w:val="24"/>
          <w:highlight w:val="none"/>
        </w:rPr>
      </w:pPr>
      <w:r>
        <w:rPr>
          <w:sz w:val="24"/>
          <w:highlight w:val="none"/>
        </w:rPr>
        <w:t>传    真：</w:t>
      </w:r>
      <w:r>
        <w:rPr>
          <w:sz w:val="24"/>
          <w:highlight w:val="none"/>
          <w:u w:val="single"/>
        </w:rPr>
        <w:t xml:space="preserve">                                </w:t>
      </w:r>
      <w:r>
        <w:rPr>
          <w:sz w:val="24"/>
          <w:highlight w:val="none"/>
        </w:rPr>
        <w:t xml:space="preserve"> </w:t>
      </w:r>
    </w:p>
    <w:p>
      <w:pPr>
        <w:spacing w:line="440" w:lineRule="atLeast"/>
        <w:ind w:firstLine="4216" w:firstLineChars="1757"/>
        <w:jc w:val="right"/>
        <w:rPr>
          <w:sz w:val="24"/>
          <w:highlight w:val="none"/>
        </w:rPr>
      </w:pPr>
      <w:r>
        <w:rPr>
          <w:sz w:val="24"/>
          <w:highlight w:val="none"/>
          <w:u w:val="single"/>
        </w:rPr>
        <w:t xml:space="preserve">       </w:t>
      </w:r>
      <w:r>
        <w:rPr>
          <w:sz w:val="24"/>
          <w:highlight w:val="none"/>
        </w:rPr>
        <w:t xml:space="preserve"> 年</w:t>
      </w:r>
      <w:r>
        <w:rPr>
          <w:sz w:val="24"/>
          <w:highlight w:val="none"/>
          <w:u w:val="single"/>
        </w:rPr>
        <w:t xml:space="preserve">      </w:t>
      </w:r>
      <w:r>
        <w:rPr>
          <w:sz w:val="24"/>
          <w:highlight w:val="none"/>
        </w:rPr>
        <w:t xml:space="preserve">月 </w:t>
      </w:r>
      <w:r>
        <w:rPr>
          <w:sz w:val="24"/>
          <w:highlight w:val="none"/>
          <w:u w:val="single"/>
        </w:rPr>
        <w:t xml:space="preserve">     </w:t>
      </w:r>
      <w:r>
        <w:rPr>
          <w:sz w:val="24"/>
          <w:highlight w:val="none"/>
        </w:rPr>
        <w:t>日</w:t>
      </w:r>
    </w:p>
    <w:p>
      <w:pPr>
        <w:ind w:firstLine="480" w:firstLineChars="200"/>
        <w:jc w:val="center"/>
        <w:rPr>
          <w:position w:val="0"/>
          <w:sz w:val="24"/>
          <w:highlight w:val="none"/>
        </w:rPr>
      </w:pPr>
    </w:p>
    <w:p>
      <w:pPr>
        <w:ind w:firstLine="480" w:firstLineChars="200"/>
        <w:jc w:val="center"/>
        <w:rPr>
          <w:position w:val="0"/>
          <w:sz w:val="24"/>
          <w:highlight w:val="none"/>
        </w:rPr>
      </w:pPr>
    </w:p>
    <w:p>
      <w:pPr>
        <w:ind w:firstLine="480" w:firstLineChars="200"/>
        <w:jc w:val="center"/>
        <w:rPr>
          <w:position w:val="0"/>
          <w:sz w:val="24"/>
          <w:highlight w:val="none"/>
        </w:rPr>
      </w:pPr>
    </w:p>
    <w:p>
      <w:pPr>
        <w:ind w:firstLine="480" w:firstLineChars="200"/>
        <w:jc w:val="center"/>
        <w:rPr>
          <w:position w:val="0"/>
          <w:sz w:val="24"/>
          <w:highlight w:val="none"/>
        </w:rPr>
      </w:pPr>
    </w:p>
    <w:p>
      <w:pPr>
        <w:ind w:firstLine="480" w:firstLineChars="200"/>
        <w:jc w:val="center"/>
        <w:rPr>
          <w:position w:val="0"/>
          <w:sz w:val="24"/>
          <w:highlight w:val="none"/>
        </w:rPr>
      </w:pPr>
    </w:p>
    <w:p>
      <w:pPr>
        <w:ind w:firstLine="480" w:firstLineChars="200"/>
        <w:jc w:val="center"/>
        <w:rPr>
          <w:position w:val="0"/>
          <w:sz w:val="24"/>
          <w:highlight w:val="none"/>
        </w:rPr>
      </w:pPr>
    </w:p>
    <w:p>
      <w:pPr>
        <w:ind w:firstLine="480" w:firstLineChars="200"/>
        <w:jc w:val="center"/>
        <w:rPr>
          <w:position w:val="0"/>
          <w:sz w:val="24"/>
          <w:highlight w:val="none"/>
        </w:rPr>
      </w:pPr>
    </w:p>
    <w:p>
      <w:pPr>
        <w:ind w:firstLine="480" w:firstLineChars="200"/>
        <w:jc w:val="center"/>
        <w:rPr>
          <w:position w:val="0"/>
          <w:sz w:val="24"/>
          <w:highlight w:val="none"/>
        </w:rPr>
      </w:pPr>
    </w:p>
    <w:p>
      <w:pPr>
        <w:ind w:firstLine="1681" w:firstLineChars="200"/>
        <w:jc w:val="center"/>
        <w:rPr>
          <w:rFonts w:eastAsia="隶书"/>
          <w:b/>
          <w:bCs/>
          <w:position w:val="0"/>
          <w:sz w:val="84"/>
          <w:highlight w:val="none"/>
        </w:rPr>
      </w:pPr>
    </w:p>
    <w:p>
      <w:pPr>
        <w:pStyle w:val="35"/>
        <w:spacing w:line="440" w:lineRule="atLeast"/>
        <w:ind w:firstLine="720"/>
        <w:outlineLvl w:val="0"/>
        <w:rPr>
          <w:rFonts w:ascii="黑体" w:hAnsi="Times New Roman" w:eastAsia="黑体"/>
          <w:bCs/>
          <w:spacing w:val="0"/>
          <w:kern w:val="44"/>
          <w:position w:val="0"/>
          <w:sz w:val="32"/>
          <w:szCs w:val="32"/>
          <w:highlight w:val="none"/>
        </w:rPr>
      </w:pPr>
      <w:bookmarkStart w:id="889" w:name="_Toc267901496"/>
      <w:bookmarkStart w:id="890" w:name="_Toc461179552"/>
      <w:bookmarkStart w:id="891" w:name="_Toc3724"/>
      <w:bookmarkStart w:id="892" w:name="_Toc510015793"/>
      <w:r>
        <w:rPr>
          <w:rFonts w:hint="eastAsia" w:ascii="黑体" w:hAnsi="Times New Roman" w:eastAsia="黑体"/>
          <w:bCs/>
          <w:spacing w:val="0"/>
          <w:kern w:val="44"/>
          <w:position w:val="0"/>
          <w:sz w:val="32"/>
          <w:szCs w:val="32"/>
          <w:highlight w:val="none"/>
        </w:rPr>
        <w:t xml:space="preserve">第五章  </w:t>
      </w:r>
      <w:bookmarkEnd w:id="889"/>
      <w:bookmarkEnd w:id="890"/>
      <w:r>
        <w:rPr>
          <w:rFonts w:hint="eastAsia" w:ascii="黑体" w:hAnsi="Times New Roman" w:eastAsia="黑体"/>
          <w:bCs/>
          <w:spacing w:val="0"/>
          <w:kern w:val="44"/>
          <w:position w:val="0"/>
          <w:sz w:val="32"/>
          <w:szCs w:val="32"/>
          <w:highlight w:val="none"/>
        </w:rPr>
        <w:t>委托人要求</w:t>
      </w:r>
      <w:r>
        <w:rPr>
          <w:rFonts w:hint="eastAsia" w:ascii="黑体" w:hAnsi="Times New Roman" w:eastAsia="黑体"/>
          <w:bCs/>
          <w:spacing w:val="0"/>
          <w:kern w:val="44"/>
          <w:position w:val="0"/>
          <w:sz w:val="32"/>
          <w:szCs w:val="32"/>
          <w:highlight w:val="none"/>
        </w:rPr>
        <w:footnoteReference w:id="13"/>
      </w:r>
      <w:bookmarkEnd w:id="891"/>
      <w:bookmarkEnd w:id="892"/>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pStyle w:val="4"/>
        <w:adjustRightInd w:val="0"/>
        <w:snapToGrid w:val="0"/>
        <w:spacing w:line="360" w:lineRule="auto"/>
        <w:rPr>
          <w:rFonts w:ascii="Times New Roman" w:hAnsi="Times New Roman" w:eastAsia="黑体"/>
          <w:sz w:val="28"/>
          <w:szCs w:val="28"/>
          <w:highlight w:val="none"/>
        </w:rPr>
      </w:pPr>
      <w:r>
        <w:rPr>
          <w:rFonts w:ascii="Times New Roman" w:hAnsi="Times New Roman" w:eastAsia="黑体"/>
          <w:sz w:val="20"/>
          <w:highlight w:val="none"/>
        </w:rPr>
        <w:br w:type="page"/>
      </w:r>
      <w:r>
        <w:rPr>
          <w:rFonts w:hint="eastAsia" w:ascii="Times New Roman" w:hAnsi="Times New Roman" w:eastAsia="黑体"/>
          <w:sz w:val="28"/>
          <w:szCs w:val="28"/>
          <w:highlight w:val="none"/>
        </w:rPr>
        <w:t>一、水土保持监测</w:t>
      </w:r>
    </w:p>
    <w:p>
      <w:pPr>
        <w:pStyle w:val="4"/>
        <w:adjustRightInd w:val="0"/>
        <w:snapToGrid w:val="0"/>
        <w:spacing w:line="360" w:lineRule="auto"/>
        <w:rPr>
          <w:szCs w:val="24"/>
          <w:highlight w:val="none"/>
        </w:rPr>
      </w:pPr>
      <w:r>
        <w:rPr>
          <w:rFonts w:hint="eastAsia" w:cs="宋体"/>
          <w:szCs w:val="28"/>
          <w:highlight w:val="none"/>
        </w:rPr>
        <w:t>1、一般要求</w:t>
      </w:r>
    </w:p>
    <w:p>
      <w:pPr>
        <w:spacing w:line="360" w:lineRule="auto"/>
        <w:ind w:firstLine="480" w:firstLineChars="200"/>
        <w:rPr>
          <w:sz w:val="24"/>
          <w:szCs w:val="24"/>
          <w:highlight w:val="none"/>
        </w:rPr>
      </w:pPr>
      <w:r>
        <w:rPr>
          <w:rFonts w:hint="eastAsia"/>
          <w:sz w:val="24"/>
          <w:szCs w:val="24"/>
          <w:highlight w:val="none"/>
        </w:rPr>
        <w:t>1）按照水土保持批复要求，通过动态监测工程建设的水土流失及水土保持情况，保障工程建设水土流失防治达到水土保持方案中的防治目标和开发建设项目水土流失防治标准。</w:t>
      </w:r>
    </w:p>
    <w:p>
      <w:pPr>
        <w:spacing w:line="360" w:lineRule="auto"/>
        <w:ind w:firstLine="480" w:firstLineChars="200"/>
        <w:rPr>
          <w:sz w:val="24"/>
          <w:szCs w:val="24"/>
          <w:highlight w:val="none"/>
        </w:rPr>
      </w:pPr>
      <w:r>
        <w:rPr>
          <w:rFonts w:hint="eastAsia"/>
          <w:sz w:val="24"/>
          <w:szCs w:val="24"/>
          <w:highlight w:val="none"/>
        </w:rPr>
        <w:t>2）按照《中华人民共和国水土保持法》和国家现行《水土保持监测技术规程》要求开展该工程水土保持监测工作，编制水土保持监测实施方案，并对监测成果负责。</w:t>
      </w:r>
    </w:p>
    <w:p>
      <w:pPr>
        <w:spacing w:line="360" w:lineRule="auto"/>
        <w:ind w:firstLine="480" w:firstLineChars="200"/>
        <w:rPr>
          <w:sz w:val="24"/>
          <w:szCs w:val="24"/>
          <w:highlight w:val="none"/>
        </w:rPr>
      </w:pPr>
      <w:r>
        <w:rPr>
          <w:rFonts w:hint="eastAsia"/>
          <w:sz w:val="24"/>
          <w:szCs w:val="24"/>
          <w:highlight w:val="none"/>
        </w:rPr>
        <w:t>3）负责监测水土流失影响因素、扰动土地、水土流失状况、水土流失防治成效、水土流失危害及其他可能影响水土流失的与本工程有关的地块和工作面水土保持监测。</w:t>
      </w:r>
    </w:p>
    <w:p>
      <w:pPr>
        <w:spacing w:line="360" w:lineRule="auto"/>
        <w:ind w:firstLine="480" w:firstLineChars="200"/>
        <w:rPr>
          <w:sz w:val="24"/>
          <w:szCs w:val="24"/>
          <w:highlight w:val="none"/>
        </w:rPr>
      </w:pPr>
      <w:r>
        <w:rPr>
          <w:rFonts w:hint="eastAsia"/>
          <w:sz w:val="24"/>
          <w:szCs w:val="24"/>
          <w:highlight w:val="none"/>
        </w:rPr>
        <w:t>4）本工程水土保持方案报告书及批复意见中的水土保持监测内容是本技术条款的组成部分，服务人的所有工作须满足其相应要求。</w:t>
      </w:r>
    </w:p>
    <w:p>
      <w:pPr>
        <w:spacing w:line="360" w:lineRule="auto"/>
        <w:ind w:firstLine="480" w:firstLineChars="200"/>
        <w:rPr>
          <w:sz w:val="24"/>
          <w:szCs w:val="24"/>
          <w:highlight w:val="none"/>
        </w:rPr>
      </w:pPr>
      <w:r>
        <w:rPr>
          <w:rFonts w:hint="eastAsia"/>
          <w:sz w:val="24"/>
          <w:szCs w:val="24"/>
          <w:highlight w:val="none"/>
        </w:rPr>
        <w:t>5)服务人负责开展本采购文件规定的所有工作所需资料的收集。</w:t>
      </w:r>
    </w:p>
    <w:p>
      <w:pPr>
        <w:spacing w:line="360" w:lineRule="auto"/>
        <w:ind w:firstLine="480" w:firstLineChars="200"/>
        <w:rPr>
          <w:sz w:val="24"/>
          <w:szCs w:val="24"/>
          <w:highlight w:val="none"/>
        </w:rPr>
      </w:pPr>
      <w:r>
        <w:rPr>
          <w:rFonts w:hint="eastAsia"/>
          <w:sz w:val="24"/>
          <w:szCs w:val="24"/>
          <w:highlight w:val="none"/>
        </w:rPr>
        <w:t>6)进场后20日内须对整个工程目前的水土流失和水土保持进行全面摸底排查，对工程建设中不符合水土保持要求的现象提出整改意见和建议。</w:t>
      </w:r>
    </w:p>
    <w:p>
      <w:pPr>
        <w:spacing w:line="360" w:lineRule="auto"/>
        <w:ind w:firstLine="480" w:firstLineChars="200"/>
        <w:rPr>
          <w:sz w:val="24"/>
          <w:szCs w:val="24"/>
          <w:highlight w:val="none"/>
        </w:rPr>
      </w:pPr>
      <w:r>
        <w:rPr>
          <w:rFonts w:hint="eastAsia"/>
          <w:sz w:val="24"/>
          <w:szCs w:val="24"/>
          <w:highlight w:val="none"/>
        </w:rPr>
        <w:t>7）监测单位根据监测资料及时分析建设项目水土流失状况和防治效果，提出水土保持防治措施的优化建议。</w:t>
      </w:r>
    </w:p>
    <w:p>
      <w:pPr>
        <w:spacing w:line="360" w:lineRule="auto"/>
        <w:ind w:firstLine="480" w:firstLineChars="200"/>
        <w:rPr>
          <w:sz w:val="24"/>
          <w:szCs w:val="24"/>
          <w:highlight w:val="none"/>
        </w:rPr>
      </w:pPr>
      <w:r>
        <w:rPr>
          <w:rFonts w:hint="eastAsia"/>
          <w:sz w:val="24"/>
          <w:szCs w:val="24"/>
          <w:highlight w:val="none"/>
        </w:rPr>
        <w:t xml:space="preserve">8)协调水土保持工程与主体工程建设进度，及时发现重大水土流失危害隐患并提出防治对策建议。 </w:t>
      </w:r>
    </w:p>
    <w:p>
      <w:pPr>
        <w:spacing w:line="360" w:lineRule="auto"/>
        <w:ind w:firstLine="480" w:firstLineChars="200"/>
        <w:rPr>
          <w:sz w:val="24"/>
          <w:szCs w:val="24"/>
          <w:highlight w:val="none"/>
        </w:rPr>
      </w:pPr>
      <w:r>
        <w:rPr>
          <w:rFonts w:hint="eastAsia"/>
          <w:sz w:val="24"/>
          <w:szCs w:val="24"/>
          <w:highlight w:val="none"/>
        </w:rPr>
        <w:t>9)按要求提交水土保持监测周、月、季、年度报告；提供水土保持监督管理技术依据和公众监督基础信息，在水土保持专项验收中负责对其所做的《监测报告》进行答疑、修改和完善，确保本工程水土保持工作通过专项验收。</w:t>
      </w:r>
    </w:p>
    <w:p>
      <w:pPr>
        <w:spacing w:line="360" w:lineRule="auto"/>
        <w:ind w:firstLine="480" w:firstLineChars="200"/>
        <w:rPr>
          <w:sz w:val="24"/>
          <w:szCs w:val="24"/>
          <w:highlight w:val="none"/>
        </w:rPr>
      </w:pPr>
      <w:r>
        <w:rPr>
          <w:rFonts w:hint="eastAsia"/>
          <w:sz w:val="24"/>
          <w:szCs w:val="24"/>
          <w:highlight w:val="none"/>
        </w:rPr>
        <w:t>10）按照国家相关法律法规、行业规范、建设单位要求等，完成与本工程水土保持相关的其它工作。</w:t>
      </w:r>
    </w:p>
    <w:p>
      <w:pPr>
        <w:pStyle w:val="4"/>
        <w:adjustRightInd w:val="0"/>
        <w:snapToGrid w:val="0"/>
        <w:spacing w:line="360" w:lineRule="auto"/>
        <w:rPr>
          <w:rFonts w:cs="宋体"/>
          <w:szCs w:val="28"/>
          <w:highlight w:val="none"/>
        </w:rPr>
      </w:pPr>
      <w:r>
        <w:rPr>
          <w:rFonts w:hint="eastAsia" w:cs="宋体"/>
          <w:szCs w:val="28"/>
          <w:highlight w:val="none"/>
        </w:rPr>
        <w:t>2、具体的技术要求</w:t>
      </w:r>
    </w:p>
    <w:p>
      <w:pPr>
        <w:spacing w:line="360" w:lineRule="auto"/>
        <w:ind w:firstLine="480" w:firstLineChars="200"/>
        <w:rPr>
          <w:sz w:val="24"/>
          <w:szCs w:val="24"/>
          <w:highlight w:val="none"/>
        </w:rPr>
      </w:pPr>
      <w:r>
        <w:rPr>
          <w:rFonts w:hint="eastAsia"/>
          <w:sz w:val="24"/>
          <w:szCs w:val="24"/>
          <w:highlight w:val="none"/>
        </w:rPr>
        <w:t>1）按照水土保持批复要求，通过动态监测工程建设的水土流失及水土保持情况，保障工程建设水土流失防治达到水土保持方案中的防治目标和开发建设项目水土流失防治标准。</w:t>
      </w:r>
    </w:p>
    <w:p>
      <w:pPr>
        <w:spacing w:line="360" w:lineRule="auto"/>
        <w:ind w:firstLine="480" w:firstLineChars="200"/>
        <w:rPr>
          <w:sz w:val="24"/>
          <w:szCs w:val="24"/>
          <w:highlight w:val="none"/>
        </w:rPr>
      </w:pPr>
      <w:r>
        <w:rPr>
          <w:rFonts w:hint="eastAsia"/>
          <w:sz w:val="24"/>
          <w:szCs w:val="24"/>
          <w:highlight w:val="none"/>
        </w:rPr>
        <w:t>2）按照《中华人民共和国水土保持法》和国家现行《水土保持监测技术规程》要求开展该工程水土保持监测工作，编制水土保持监测实施方案，并对监测成果负责。</w:t>
      </w:r>
    </w:p>
    <w:p>
      <w:pPr>
        <w:spacing w:line="360" w:lineRule="auto"/>
        <w:ind w:firstLine="480" w:firstLineChars="200"/>
        <w:rPr>
          <w:sz w:val="24"/>
          <w:szCs w:val="24"/>
          <w:highlight w:val="none"/>
        </w:rPr>
      </w:pPr>
      <w:r>
        <w:rPr>
          <w:rFonts w:hint="eastAsia"/>
          <w:sz w:val="24"/>
          <w:szCs w:val="24"/>
          <w:highlight w:val="none"/>
        </w:rPr>
        <w:t>3）负责监测水土流失影响因素，主要包括气象水文、地形地貌、地表组成物质、植被等自然影响因素。</w:t>
      </w:r>
    </w:p>
    <w:p>
      <w:pPr>
        <w:spacing w:line="360" w:lineRule="auto"/>
        <w:ind w:firstLine="480" w:firstLineChars="200"/>
        <w:rPr>
          <w:sz w:val="24"/>
          <w:szCs w:val="24"/>
          <w:highlight w:val="none"/>
        </w:rPr>
      </w:pPr>
      <w:r>
        <w:rPr>
          <w:rFonts w:hint="eastAsia"/>
          <w:sz w:val="24"/>
          <w:szCs w:val="24"/>
          <w:highlight w:val="none"/>
        </w:rPr>
        <w:t xml:space="preserve">4) 负责监测扰动土地，项目建设对原地表、植被的占压和损毁情况，项目征占地和水土流失防治责任范围变化情况。 </w:t>
      </w:r>
    </w:p>
    <w:p>
      <w:pPr>
        <w:spacing w:line="360" w:lineRule="auto"/>
        <w:ind w:firstLine="480" w:firstLineChars="200"/>
        <w:rPr>
          <w:sz w:val="24"/>
          <w:szCs w:val="24"/>
          <w:highlight w:val="none"/>
        </w:rPr>
      </w:pPr>
      <w:r>
        <w:rPr>
          <w:rFonts w:hint="eastAsia"/>
          <w:sz w:val="24"/>
          <w:szCs w:val="24"/>
          <w:highlight w:val="none"/>
        </w:rPr>
        <w:t xml:space="preserve">5) 负责监测水土流失状况，重点监测水土流失面积、分布、土壤流失量及变化情况等。 </w:t>
      </w:r>
    </w:p>
    <w:p>
      <w:pPr>
        <w:spacing w:line="360" w:lineRule="auto"/>
        <w:ind w:firstLine="480" w:firstLineChars="200"/>
        <w:rPr>
          <w:sz w:val="24"/>
          <w:szCs w:val="24"/>
          <w:highlight w:val="none"/>
        </w:rPr>
      </w:pPr>
      <w:r>
        <w:rPr>
          <w:rFonts w:hint="eastAsia"/>
          <w:sz w:val="24"/>
          <w:szCs w:val="24"/>
          <w:highlight w:val="none"/>
        </w:rPr>
        <w:t>6) 负责水土流失防治成效重点监测采取水土保持工程、植物和临时措施的位置、数量，以及实施水土保持措施前后的防治效果对比情况等。主要包括：</w:t>
      </w:r>
    </w:p>
    <w:p>
      <w:pPr>
        <w:spacing w:line="360" w:lineRule="auto"/>
        <w:ind w:firstLine="480" w:firstLineChars="200"/>
        <w:rPr>
          <w:sz w:val="24"/>
          <w:szCs w:val="24"/>
          <w:highlight w:val="none"/>
        </w:rPr>
      </w:pPr>
      <w:r>
        <w:rPr>
          <w:rFonts w:hint="eastAsia"/>
          <w:sz w:val="24"/>
          <w:szCs w:val="24"/>
          <w:highlight w:val="none"/>
        </w:rPr>
        <w:t>a) 植物措施的种类、面积、分布、生长状况、成活率、保存率和林草覆盖率；</w:t>
      </w:r>
    </w:p>
    <w:p>
      <w:pPr>
        <w:spacing w:line="360" w:lineRule="auto"/>
        <w:ind w:firstLine="480" w:firstLineChars="200"/>
        <w:rPr>
          <w:sz w:val="24"/>
          <w:szCs w:val="24"/>
          <w:highlight w:val="none"/>
        </w:rPr>
      </w:pPr>
      <w:r>
        <w:rPr>
          <w:rFonts w:hint="eastAsia"/>
          <w:sz w:val="24"/>
          <w:szCs w:val="24"/>
          <w:highlight w:val="none"/>
        </w:rPr>
        <w:t>b) 工程措施的类型、数量、分布和完好程度；</w:t>
      </w:r>
    </w:p>
    <w:p>
      <w:pPr>
        <w:spacing w:line="360" w:lineRule="auto"/>
        <w:ind w:firstLine="480" w:firstLineChars="200"/>
        <w:rPr>
          <w:sz w:val="24"/>
          <w:szCs w:val="24"/>
          <w:highlight w:val="none"/>
        </w:rPr>
      </w:pPr>
      <w:r>
        <w:rPr>
          <w:rFonts w:hint="eastAsia"/>
          <w:sz w:val="24"/>
          <w:szCs w:val="24"/>
          <w:highlight w:val="none"/>
        </w:rPr>
        <w:t xml:space="preserve">c) 临时措施的类型、数量和分布； </w:t>
      </w:r>
    </w:p>
    <w:p>
      <w:pPr>
        <w:spacing w:line="360" w:lineRule="auto"/>
        <w:ind w:firstLine="480" w:firstLineChars="200"/>
        <w:rPr>
          <w:sz w:val="24"/>
          <w:szCs w:val="24"/>
          <w:highlight w:val="none"/>
        </w:rPr>
      </w:pPr>
      <w:r>
        <w:rPr>
          <w:rFonts w:hint="eastAsia"/>
          <w:sz w:val="24"/>
          <w:szCs w:val="24"/>
          <w:highlight w:val="none"/>
        </w:rPr>
        <w:t>d) 主体工程和各项水土保持措施的实施进展情况；</w:t>
      </w:r>
    </w:p>
    <w:p>
      <w:pPr>
        <w:spacing w:line="360" w:lineRule="auto"/>
        <w:ind w:firstLine="480" w:firstLineChars="200"/>
        <w:rPr>
          <w:sz w:val="24"/>
          <w:szCs w:val="24"/>
          <w:highlight w:val="none"/>
        </w:rPr>
      </w:pPr>
      <w:r>
        <w:rPr>
          <w:rFonts w:hint="eastAsia"/>
          <w:sz w:val="24"/>
          <w:szCs w:val="24"/>
          <w:highlight w:val="none"/>
        </w:rPr>
        <w:t>e) 水土保持措施对主体工程安全建设和运行发挥的作用；</w:t>
      </w:r>
    </w:p>
    <w:p>
      <w:pPr>
        <w:spacing w:line="360" w:lineRule="auto"/>
        <w:ind w:firstLine="480" w:firstLineChars="200"/>
        <w:rPr>
          <w:sz w:val="24"/>
          <w:szCs w:val="24"/>
          <w:highlight w:val="none"/>
        </w:rPr>
      </w:pPr>
      <w:r>
        <w:rPr>
          <w:rFonts w:hint="eastAsia"/>
          <w:sz w:val="24"/>
          <w:szCs w:val="24"/>
          <w:highlight w:val="none"/>
        </w:rPr>
        <w:t xml:space="preserve">f) 水土保持措施对周边生态环境发挥的作用。 </w:t>
      </w:r>
    </w:p>
    <w:p>
      <w:pPr>
        <w:spacing w:line="360" w:lineRule="auto"/>
        <w:ind w:firstLine="480" w:firstLineChars="200"/>
        <w:rPr>
          <w:sz w:val="24"/>
          <w:szCs w:val="24"/>
          <w:highlight w:val="none"/>
        </w:rPr>
      </w:pPr>
      <w:r>
        <w:rPr>
          <w:rFonts w:hint="eastAsia"/>
          <w:sz w:val="24"/>
          <w:szCs w:val="24"/>
          <w:highlight w:val="none"/>
        </w:rPr>
        <w:t xml:space="preserve">7) 负责监测水土流失危害，重点监测水土流失对主体工程、周边重要设施等造成的影响及危害等。主要包括： </w:t>
      </w:r>
    </w:p>
    <w:p>
      <w:pPr>
        <w:spacing w:line="360" w:lineRule="auto"/>
        <w:ind w:firstLine="480" w:firstLineChars="200"/>
        <w:rPr>
          <w:sz w:val="24"/>
          <w:szCs w:val="24"/>
          <w:highlight w:val="none"/>
        </w:rPr>
      </w:pPr>
      <w:r>
        <w:rPr>
          <w:rFonts w:hint="eastAsia"/>
          <w:sz w:val="24"/>
          <w:szCs w:val="24"/>
          <w:highlight w:val="none"/>
        </w:rPr>
        <w:t>a) 水土流失对主体工程造成危害的方式、数量和程度；</w:t>
      </w:r>
    </w:p>
    <w:p>
      <w:pPr>
        <w:spacing w:line="360" w:lineRule="auto"/>
        <w:ind w:firstLine="480" w:firstLineChars="200"/>
        <w:rPr>
          <w:sz w:val="24"/>
          <w:szCs w:val="24"/>
          <w:highlight w:val="none"/>
        </w:rPr>
      </w:pPr>
      <w:r>
        <w:rPr>
          <w:rFonts w:hint="eastAsia"/>
          <w:sz w:val="24"/>
          <w:szCs w:val="24"/>
          <w:highlight w:val="none"/>
        </w:rPr>
        <w:t xml:space="preserve">b) 水土流失掩埋冲毁农田、道路、居民点等的数量和程度； </w:t>
      </w:r>
    </w:p>
    <w:p>
      <w:pPr>
        <w:spacing w:line="360" w:lineRule="auto"/>
        <w:ind w:firstLine="480" w:firstLineChars="200"/>
        <w:rPr>
          <w:sz w:val="24"/>
          <w:szCs w:val="24"/>
          <w:highlight w:val="none"/>
        </w:rPr>
      </w:pPr>
      <w:r>
        <w:rPr>
          <w:rFonts w:hint="eastAsia"/>
          <w:sz w:val="24"/>
          <w:szCs w:val="24"/>
          <w:highlight w:val="none"/>
        </w:rPr>
        <w:t xml:space="preserve">c) 对高等级公路、铁路、输变电、输油（气）管线等重大工程造成的危害； </w:t>
      </w:r>
    </w:p>
    <w:p>
      <w:pPr>
        <w:spacing w:line="360" w:lineRule="auto"/>
        <w:ind w:firstLine="480" w:firstLineChars="200"/>
        <w:rPr>
          <w:sz w:val="24"/>
          <w:szCs w:val="24"/>
          <w:highlight w:val="none"/>
        </w:rPr>
      </w:pPr>
      <w:r>
        <w:rPr>
          <w:rFonts w:hint="eastAsia"/>
          <w:sz w:val="24"/>
          <w:szCs w:val="24"/>
          <w:highlight w:val="none"/>
        </w:rPr>
        <w:t>d) 生产建项目造成的沙化、崩塌、滑坡、泥石流等灾害；</w:t>
      </w:r>
    </w:p>
    <w:p>
      <w:pPr>
        <w:spacing w:line="360" w:lineRule="auto"/>
        <w:ind w:firstLine="480" w:firstLineChars="200"/>
        <w:rPr>
          <w:sz w:val="24"/>
          <w:szCs w:val="24"/>
          <w:highlight w:val="none"/>
        </w:rPr>
      </w:pPr>
      <w:r>
        <w:rPr>
          <w:rFonts w:hint="eastAsia"/>
          <w:sz w:val="24"/>
          <w:szCs w:val="24"/>
          <w:highlight w:val="none"/>
        </w:rPr>
        <w:t>e) 对水源地、生态保护区、江河湖泊、水库、塘坝、航道的危害，有可能 直接进入江河湖泊或产生行洪安全影响的弃土（石、渣）情况。</w:t>
      </w:r>
    </w:p>
    <w:p>
      <w:pPr>
        <w:spacing w:line="360" w:lineRule="auto"/>
        <w:ind w:firstLine="480" w:firstLineChars="200"/>
        <w:rPr>
          <w:sz w:val="24"/>
          <w:szCs w:val="24"/>
          <w:highlight w:val="none"/>
        </w:rPr>
      </w:pPr>
      <w:r>
        <w:rPr>
          <w:rFonts w:hint="eastAsia"/>
          <w:sz w:val="24"/>
          <w:szCs w:val="24"/>
          <w:highlight w:val="none"/>
        </w:rPr>
        <w:t>8）其他可能影响水土流失的与本工程有关的地块和工作面水土保持监测。</w:t>
      </w:r>
    </w:p>
    <w:p>
      <w:pPr>
        <w:spacing w:line="360" w:lineRule="auto"/>
        <w:ind w:firstLine="480" w:firstLineChars="200"/>
        <w:rPr>
          <w:sz w:val="24"/>
          <w:szCs w:val="24"/>
          <w:highlight w:val="none"/>
        </w:rPr>
      </w:pPr>
      <w:r>
        <w:rPr>
          <w:rFonts w:hint="eastAsia"/>
          <w:sz w:val="24"/>
          <w:szCs w:val="24"/>
          <w:highlight w:val="none"/>
        </w:rPr>
        <w:t>9）监测单位根据监测资料及时分析建设项目水土流失状况和防治效果，提出水土保持防治措施的优化建议。</w:t>
      </w:r>
    </w:p>
    <w:p>
      <w:pPr>
        <w:spacing w:line="360" w:lineRule="auto"/>
        <w:ind w:firstLine="480" w:firstLineChars="200"/>
        <w:rPr>
          <w:sz w:val="24"/>
          <w:szCs w:val="24"/>
          <w:highlight w:val="none"/>
        </w:rPr>
      </w:pPr>
      <w:r>
        <w:rPr>
          <w:rFonts w:hint="eastAsia"/>
          <w:sz w:val="24"/>
          <w:szCs w:val="24"/>
          <w:highlight w:val="none"/>
        </w:rPr>
        <w:t xml:space="preserve">10）协调水土保持工程与主体工程建设进度，及时发现重大水土流失危害隐患并提出防治对策建议。 </w:t>
      </w:r>
    </w:p>
    <w:p>
      <w:pPr>
        <w:spacing w:line="360" w:lineRule="auto"/>
        <w:ind w:firstLine="480" w:firstLineChars="200"/>
        <w:rPr>
          <w:sz w:val="24"/>
          <w:szCs w:val="24"/>
          <w:highlight w:val="none"/>
        </w:rPr>
      </w:pPr>
      <w:r>
        <w:rPr>
          <w:rFonts w:hint="eastAsia"/>
          <w:sz w:val="24"/>
          <w:szCs w:val="24"/>
          <w:highlight w:val="none"/>
        </w:rPr>
        <w:t>11）按要求提交水土保持监测季报、年报、总结报告；提供水土保持监督管理技术依据和公众监督基础信息，在水土保持专项验收中负责对其所做的《监测报告》进行答疑、修改和完善，确保本工程水土保持工作通过专项验收。</w:t>
      </w:r>
    </w:p>
    <w:p>
      <w:pPr>
        <w:spacing w:line="360" w:lineRule="auto"/>
        <w:ind w:firstLine="480" w:firstLineChars="200"/>
        <w:rPr>
          <w:sz w:val="24"/>
          <w:szCs w:val="24"/>
          <w:highlight w:val="none"/>
        </w:rPr>
      </w:pPr>
      <w:r>
        <w:rPr>
          <w:rFonts w:hint="eastAsia"/>
          <w:sz w:val="24"/>
          <w:szCs w:val="24"/>
          <w:highlight w:val="none"/>
        </w:rPr>
        <w:t>12）按照国家相关法律法规、行业规范、建设单位要求等，完成与本工程水土保持相关的其它工作。</w:t>
      </w:r>
    </w:p>
    <w:p>
      <w:pPr>
        <w:spacing w:line="360" w:lineRule="auto"/>
        <w:ind w:firstLine="480" w:firstLineChars="200"/>
        <w:rPr>
          <w:sz w:val="24"/>
          <w:szCs w:val="24"/>
          <w:highlight w:val="none"/>
        </w:rPr>
      </w:pPr>
      <w:r>
        <w:rPr>
          <w:rFonts w:hint="eastAsia"/>
          <w:sz w:val="24"/>
          <w:szCs w:val="24"/>
          <w:highlight w:val="none"/>
        </w:rPr>
        <w:t>13)对实施的各类水土保持措施运行状况和防护效果进行监测。</w:t>
      </w:r>
    </w:p>
    <w:p>
      <w:pPr>
        <w:spacing w:line="360" w:lineRule="auto"/>
        <w:ind w:firstLine="480" w:firstLineChars="200"/>
        <w:rPr>
          <w:sz w:val="24"/>
          <w:szCs w:val="24"/>
          <w:highlight w:val="none"/>
        </w:rPr>
      </w:pPr>
      <w:r>
        <w:rPr>
          <w:rFonts w:hint="eastAsia"/>
          <w:sz w:val="24"/>
          <w:szCs w:val="24"/>
          <w:highlight w:val="none"/>
        </w:rPr>
        <w:t>14)负责编制提交工程验收所需的水土保持监测总结报告并配合水土保持验收工作。</w:t>
      </w:r>
    </w:p>
    <w:p>
      <w:pPr>
        <w:spacing w:line="440" w:lineRule="atLeast"/>
        <w:ind w:firstLine="480" w:firstLineChars="200"/>
        <w:rPr>
          <w:sz w:val="24"/>
          <w:szCs w:val="24"/>
          <w:highlight w:val="none"/>
        </w:rPr>
      </w:pPr>
      <w:r>
        <w:rPr>
          <w:rFonts w:hint="eastAsia"/>
          <w:sz w:val="24"/>
          <w:szCs w:val="24"/>
          <w:highlight w:val="none"/>
        </w:rPr>
        <w:t>15)密切配合工程现场水土保持监理的相关工作，监测成果作为水土保持监理工作的依据之一。</w:t>
      </w:r>
    </w:p>
    <w:p>
      <w:pPr>
        <w:pStyle w:val="2"/>
        <w:jc w:val="center"/>
        <w:rPr>
          <w:highlight w:val="none"/>
        </w:rPr>
      </w:pPr>
      <w:r>
        <w:rPr>
          <w:rFonts w:hint="eastAsia"/>
          <w:sz w:val="24"/>
          <w:szCs w:val="24"/>
          <w:highlight w:val="none"/>
        </w:rPr>
        <w:t>3、实行生产建没项目水土保持监测三色评价</w:t>
      </w:r>
    </w:p>
    <w:p>
      <w:pPr>
        <w:pStyle w:val="2"/>
        <w:spacing w:line="360" w:lineRule="auto"/>
        <w:ind w:firstLine="480" w:firstLineChars="200"/>
        <w:rPr>
          <w:rFonts w:ascii="Times New Roman"/>
          <w:b w:val="0"/>
          <w:sz w:val="24"/>
          <w:szCs w:val="24"/>
          <w:highlight w:val="none"/>
        </w:rPr>
      </w:pPr>
      <w:r>
        <w:rPr>
          <w:rFonts w:hint="eastAsia" w:ascii="Times New Roman"/>
          <w:b w:val="0"/>
          <w:sz w:val="24"/>
          <w:szCs w:val="24"/>
          <w:highlight w:val="none"/>
        </w:rPr>
        <w:t>生产建设项目水土保持监测三色评价是指监测单位依据扰动土地情况、水土流失状况、防治成效及水土流失危害等监测结果, 对生产建设项目水土流失防治情况进行评价,在监测季报和总结报告中明确“绿黄红”三色评价结论。三色评价结论是生产建设单位落实参建单位责任、控制施工过程水土流失的重要依据,也是各流域管理机杓和地方备级水行政主管部门实施监管的重要依据。</w:t>
      </w:r>
    </w:p>
    <w:p>
      <w:pPr>
        <w:pStyle w:val="2"/>
        <w:spacing w:line="360" w:lineRule="auto"/>
        <w:ind w:firstLine="480" w:firstLineChars="200"/>
        <w:rPr>
          <w:rFonts w:ascii="Times New Roman"/>
          <w:b w:val="0"/>
          <w:sz w:val="24"/>
          <w:szCs w:val="24"/>
          <w:highlight w:val="none"/>
        </w:rPr>
      </w:pPr>
      <w:r>
        <w:rPr>
          <w:rFonts w:hint="eastAsia" w:ascii="Times New Roman"/>
          <w:b w:val="0"/>
          <w:sz w:val="24"/>
          <w:szCs w:val="24"/>
          <w:highlight w:val="none"/>
        </w:rPr>
        <w:t>三色评价以水土保持方案确定的防治目标为基础,以监测获取的实际数据为依据,针 对不同的监测内容,采取定量评价和定性分析相结合方式进行量化打分。三色评价采用评分法,满分为100分;得分80分及以上的为“绿”色,60分及以上不足80分的为“黄”色,不足60分的为“红”色。(生产建设项目水土保持监测三色评价指标及赋分表、赋分方法见附件1、2) 。</w:t>
      </w:r>
    </w:p>
    <w:p>
      <w:pPr>
        <w:pStyle w:val="2"/>
        <w:spacing w:line="360" w:lineRule="auto"/>
        <w:ind w:firstLine="480" w:firstLineChars="200"/>
        <w:rPr>
          <w:rFonts w:ascii="Times New Roman"/>
          <w:b w:val="0"/>
          <w:sz w:val="24"/>
          <w:szCs w:val="24"/>
          <w:highlight w:val="none"/>
        </w:rPr>
      </w:pPr>
      <w:r>
        <w:rPr>
          <w:rFonts w:hint="eastAsia" w:ascii="Times New Roman"/>
          <w:b w:val="0"/>
          <w:sz w:val="24"/>
          <w:szCs w:val="24"/>
          <w:highlight w:val="none"/>
        </w:rPr>
        <w:t>监测季报三色评价得分为本季度实际得分,监测总结报告三色评价得分为全部监测季报得分的平均值。</w:t>
      </w:r>
    </w:p>
    <w:p>
      <w:pPr>
        <w:jc w:val="center"/>
        <w:rPr>
          <w:rFonts w:ascii="黑体" w:hAnsi="黑体" w:eastAsia="黑体"/>
          <w:sz w:val="28"/>
          <w:szCs w:val="28"/>
          <w:highlight w:val="none"/>
        </w:rPr>
      </w:pPr>
      <w:r>
        <w:rPr>
          <w:rFonts w:hint="eastAsia" w:ascii="黑体" w:hAnsi="黑体" w:eastAsia="黑体"/>
          <w:sz w:val="28"/>
          <w:szCs w:val="28"/>
          <w:highlight w:val="none"/>
        </w:rPr>
        <w:t>二、环境监测</w:t>
      </w:r>
    </w:p>
    <w:p>
      <w:pPr>
        <w:pStyle w:val="2"/>
        <w:spacing w:line="360" w:lineRule="auto"/>
        <w:ind w:firstLine="480" w:firstLineChars="200"/>
        <w:rPr>
          <w:rFonts w:hAnsi="宋体"/>
          <w:b w:val="0"/>
          <w:bCs/>
          <w:sz w:val="24"/>
          <w:szCs w:val="24"/>
          <w:highlight w:val="none"/>
        </w:rPr>
      </w:pPr>
      <w:r>
        <w:rPr>
          <w:rFonts w:hint="eastAsia" w:hAnsi="宋体"/>
          <w:b w:val="0"/>
          <w:bCs/>
          <w:sz w:val="24"/>
          <w:szCs w:val="24"/>
          <w:highlight w:val="none"/>
        </w:rPr>
        <w:t>依据《交通运输行业公路水路环境监测管理办法》（交环发〔2008〕112号）等国家及湖南省环境监测、验收工作相关的法律、法规、部门规章、规范、标准、本项目环境影响报告书及其批复、施工图设计文件及招标人的要求等开展监测及验收工作，具体如下：按照本项目环境影响报告书及其批复文件要求，制定并实施环境监测计划或方案，对空气、水、噪声、生态等开展监测工作，编制施工期及专项验收所需的环境监测报告及总结报告，分析工程施工对环境的影响，为参建单位提供环保工作改进措施与建议，并按要求将监测报告提交至建设单位和项目沿线地方环保主管部门；为工程环保专项竣工验收提供满足要求的监测报告（数据），并协助项目顺利通过环境保护验收。</w:t>
      </w:r>
    </w:p>
    <w:p>
      <w:pPr>
        <w:pStyle w:val="2"/>
        <w:spacing w:line="360" w:lineRule="auto"/>
        <w:ind w:firstLine="480" w:firstLineChars="200"/>
        <w:rPr>
          <w:rFonts w:hAnsi="宋体"/>
          <w:b w:val="0"/>
          <w:bCs/>
          <w:sz w:val="24"/>
          <w:szCs w:val="24"/>
          <w:highlight w:val="none"/>
        </w:rPr>
      </w:pPr>
    </w:p>
    <w:p>
      <w:pPr>
        <w:rPr>
          <w:rFonts w:ascii="宋体" w:hAnsi="宋体" w:cs="宋体"/>
          <w:b/>
          <w:bCs/>
          <w:sz w:val="24"/>
          <w:szCs w:val="28"/>
          <w:highlight w:val="none"/>
        </w:rPr>
      </w:pPr>
      <w:r>
        <w:rPr>
          <w:rFonts w:hint="eastAsia" w:ascii="宋体" w:hAnsi="宋体" w:cs="宋体"/>
          <w:b/>
          <w:bCs/>
          <w:sz w:val="24"/>
          <w:szCs w:val="28"/>
          <w:highlight w:val="none"/>
        </w:rPr>
        <w:br w:type="page"/>
      </w:r>
    </w:p>
    <w:p>
      <w:pPr>
        <w:pStyle w:val="2"/>
        <w:rPr>
          <w:rFonts w:hAnsi="宋体" w:cs="宋体"/>
          <w:bCs/>
          <w:sz w:val="28"/>
          <w:szCs w:val="28"/>
          <w:highlight w:val="none"/>
        </w:rPr>
      </w:pPr>
      <w:r>
        <w:rPr>
          <w:rFonts w:hint="eastAsia" w:hAnsi="宋体" w:cs="宋体"/>
          <w:bCs/>
          <w:sz w:val="28"/>
          <w:szCs w:val="28"/>
          <w:highlight w:val="none"/>
        </w:rPr>
        <w:t xml:space="preserve">附件 1 </w:t>
      </w:r>
    </w:p>
    <w:p>
      <w:pPr>
        <w:pStyle w:val="2"/>
        <w:rPr>
          <w:rFonts w:hAnsi="宋体" w:cs="宋体"/>
          <w:bCs/>
          <w:sz w:val="28"/>
          <w:szCs w:val="28"/>
          <w:highlight w:val="none"/>
        </w:rPr>
      </w:pPr>
      <w:r>
        <w:rPr>
          <w:rFonts w:hint="eastAsia" w:hAnsi="宋体" w:cs="宋体"/>
          <w:bCs/>
          <w:sz w:val="28"/>
          <w:szCs w:val="28"/>
          <w:highlight w:val="none"/>
        </w:rPr>
        <w:t xml:space="preserve">生产建设项 目水土保持监测三色评价指标及斌分表 (试行 ) </w:t>
      </w:r>
    </w:p>
    <w:tbl>
      <w:tblPr>
        <w:tblStyle w:val="3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1"/>
        <w:gridCol w:w="1794"/>
        <w:gridCol w:w="1540"/>
        <w:gridCol w:w="1260"/>
        <w:gridCol w:w="31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5" w:type="dxa"/>
            <w:gridSpan w:val="2"/>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项目名称</w:t>
            </w:r>
          </w:p>
        </w:tc>
        <w:tc>
          <w:tcPr>
            <w:tcW w:w="5986" w:type="dxa"/>
            <w:gridSpan w:val="3"/>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5" w:type="dxa"/>
            <w:gridSpan w:val="2"/>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监测时段和</w:t>
            </w:r>
          </w:p>
          <w:p>
            <w:pPr>
              <w:widowControl/>
              <w:jc w:val="center"/>
              <w:rPr>
                <w:rFonts w:ascii="宋体" w:hAnsi="宋体" w:cs="宋体"/>
                <w:b/>
                <w:bCs/>
                <w:sz w:val="28"/>
                <w:szCs w:val="28"/>
                <w:highlight w:val="none"/>
              </w:rPr>
            </w:pPr>
            <w:r>
              <w:rPr>
                <w:rFonts w:hint="eastAsia" w:ascii="宋体" w:hAnsi="宋体" w:cs="宋体"/>
                <w:b/>
                <w:bCs/>
                <w:sz w:val="28"/>
                <w:szCs w:val="28"/>
                <w:highlight w:val="none"/>
              </w:rPr>
              <w:t>防治责任范围</w:t>
            </w:r>
          </w:p>
        </w:tc>
        <w:tc>
          <w:tcPr>
            <w:tcW w:w="5986" w:type="dxa"/>
            <w:gridSpan w:val="3"/>
            <w:vAlign w:val="center"/>
          </w:tcPr>
          <w:p>
            <w:pPr>
              <w:jc w:val="center"/>
              <w:rPr>
                <w:rFonts w:ascii="宋体" w:hAnsi="宋体" w:cs="宋体"/>
                <w:b/>
                <w:bCs/>
                <w:sz w:val="28"/>
                <w:szCs w:val="28"/>
                <w:highlight w:val="none"/>
              </w:rPr>
            </w:pPr>
            <w:r>
              <w:rPr>
                <w:rFonts w:hint="eastAsia" w:ascii="宋体" w:hAnsi="宋体" w:cs="宋体"/>
                <w:b/>
                <w:bCs/>
                <w:sz w:val="28"/>
                <w:szCs w:val="28"/>
                <w:highlight w:val="none"/>
                <w:u w:val="single"/>
              </w:rPr>
              <w:t xml:space="preserve">     </w:t>
            </w:r>
            <w:r>
              <w:rPr>
                <w:rFonts w:hint="eastAsia" w:ascii="宋体" w:hAnsi="宋体" w:cs="宋体"/>
                <w:b/>
                <w:bCs/>
                <w:sz w:val="28"/>
                <w:szCs w:val="28"/>
                <w:highlight w:val="none"/>
              </w:rPr>
              <w:t>年第</w:t>
            </w:r>
            <w:r>
              <w:rPr>
                <w:rFonts w:hint="eastAsia" w:ascii="宋体" w:hAnsi="宋体" w:cs="宋体"/>
                <w:b/>
                <w:bCs/>
                <w:sz w:val="28"/>
                <w:szCs w:val="28"/>
                <w:highlight w:val="none"/>
                <w:u w:val="single"/>
              </w:rPr>
              <w:t xml:space="preserve">      </w:t>
            </w:r>
            <w:r>
              <w:rPr>
                <w:rFonts w:hint="eastAsia" w:ascii="宋体" w:hAnsi="宋体" w:cs="宋体"/>
                <w:b/>
                <w:bCs/>
                <w:sz w:val="28"/>
                <w:szCs w:val="28"/>
                <w:highlight w:val="none"/>
              </w:rPr>
              <w:t>季度，</w:t>
            </w:r>
            <w:r>
              <w:rPr>
                <w:rFonts w:hint="eastAsia" w:ascii="宋体" w:hAnsi="宋体" w:cs="宋体"/>
                <w:b/>
                <w:bCs/>
                <w:sz w:val="28"/>
                <w:szCs w:val="28"/>
                <w:highlight w:val="none"/>
                <w:u w:val="single"/>
              </w:rPr>
              <w:t xml:space="preserve">           </w:t>
            </w:r>
            <w:r>
              <w:rPr>
                <w:rFonts w:hint="eastAsia" w:ascii="宋体" w:hAnsi="宋体" w:cs="宋体"/>
                <w:b/>
                <w:bCs/>
                <w:sz w:val="28"/>
                <w:szCs w:val="28"/>
                <w:highlight w:val="none"/>
              </w:rPr>
              <w:t>公顷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5" w:type="dxa"/>
            <w:gridSpan w:val="2"/>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三色评价结论</w:t>
            </w:r>
          </w:p>
          <w:p>
            <w:pPr>
              <w:jc w:val="center"/>
              <w:rPr>
                <w:rFonts w:ascii="宋体" w:hAnsi="宋体" w:cs="宋体"/>
                <w:b/>
                <w:bCs/>
                <w:sz w:val="28"/>
                <w:szCs w:val="28"/>
                <w:highlight w:val="none"/>
              </w:rPr>
            </w:pPr>
            <w:r>
              <w:rPr>
                <w:rFonts w:hint="eastAsia" w:ascii="宋体" w:hAnsi="宋体" w:cs="宋体"/>
                <w:b/>
                <w:bCs/>
                <w:sz w:val="28"/>
                <w:szCs w:val="28"/>
                <w:highlight w:val="none"/>
              </w:rPr>
              <w:t>（勾选）</w:t>
            </w:r>
          </w:p>
        </w:tc>
        <w:tc>
          <w:tcPr>
            <w:tcW w:w="5986" w:type="dxa"/>
            <w:gridSpan w:val="3"/>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绿色</w:t>
            </w:r>
            <w:r>
              <w:rPr>
                <w:rFonts w:hint="eastAsia"/>
                <w:sz w:val="28"/>
                <w:szCs w:val="28"/>
                <w:highlight w:val="none"/>
              </w:rPr>
              <w:t>□</w:t>
            </w:r>
            <w:r>
              <w:rPr>
                <w:rFonts w:hint="eastAsia" w:ascii="宋体" w:hAnsi="宋体" w:cs="宋体"/>
                <w:b/>
                <w:bCs/>
                <w:sz w:val="28"/>
                <w:szCs w:val="28"/>
                <w:highlight w:val="none"/>
              </w:rPr>
              <w:t xml:space="preserve">          黄色</w:t>
            </w:r>
            <w:r>
              <w:rPr>
                <w:rFonts w:hint="eastAsia"/>
                <w:sz w:val="28"/>
                <w:szCs w:val="28"/>
                <w:highlight w:val="none"/>
              </w:rPr>
              <w:t>□</w:t>
            </w:r>
            <w:r>
              <w:rPr>
                <w:rFonts w:hint="eastAsia" w:ascii="宋体" w:hAnsi="宋体" w:cs="宋体"/>
                <w:b/>
                <w:bCs/>
                <w:sz w:val="28"/>
                <w:szCs w:val="28"/>
                <w:highlight w:val="none"/>
              </w:rPr>
              <w:t xml:space="preserve">              红色</w:t>
            </w:r>
            <w:r>
              <w:rPr>
                <w:rFonts w:hint="eastAsia"/>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5" w:type="dxa"/>
            <w:gridSpan w:val="2"/>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评价指标</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分值</w:t>
            </w:r>
          </w:p>
        </w:tc>
        <w:tc>
          <w:tcPr>
            <w:tcW w:w="126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得分</w:t>
            </w:r>
          </w:p>
        </w:tc>
        <w:tc>
          <w:tcPr>
            <w:tcW w:w="3186"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赋分说明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111" w:type="dxa"/>
            <w:vMerge w:val="restart"/>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扰动</w:t>
            </w:r>
          </w:p>
          <w:p>
            <w:pPr>
              <w:jc w:val="center"/>
              <w:rPr>
                <w:rFonts w:ascii="宋体" w:hAnsi="宋体" w:cs="宋体"/>
                <w:b/>
                <w:bCs/>
                <w:sz w:val="28"/>
                <w:szCs w:val="28"/>
                <w:highlight w:val="none"/>
              </w:rPr>
            </w:pPr>
            <w:r>
              <w:rPr>
                <w:rFonts w:hint="eastAsia" w:ascii="宋体" w:hAnsi="宋体" w:cs="宋体"/>
                <w:b/>
                <w:bCs/>
                <w:sz w:val="28"/>
                <w:szCs w:val="28"/>
                <w:highlight w:val="none"/>
              </w:rPr>
              <w:t>土地情况</w:t>
            </w:r>
          </w:p>
        </w:tc>
        <w:tc>
          <w:tcPr>
            <w:tcW w:w="1794" w:type="dxa"/>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扰动范围控制</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15</w:t>
            </w:r>
          </w:p>
        </w:tc>
        <w:tc>
          <w:tcPr>
            <w:tcW w:w="1260" w:type="dxa"/>
            <w:vMerge w:val="restart"/>
            <w:vAlign w:val="center"/>
          </w:tcPr>
          <w:p>
            <w:pPr>
              <w:jc w:val="center"/>
              <w:rPr>
                <w:rFonts w:ascii="宋体" w:hAnsi="宋体" w:cs="宋体"/>
                <w:b/>
                <w:bCs/>
                <w:sz w:val="28"/>
                <w:szCs w:val="28"/>
                <w:highlight w:val="none"/>
              </w:rPr>
            </w:pPr>
          </w:p>
        </w:tc>
        <w:tc>
          <w:tcPr>
            <w:tcW w:w="3186" w:type="dxa"/>
            <w:vMerge w:val="restart"/>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trPr>
        <w:tc>
          <w:tcPr>
            <w:tcW w:w="1111" w:type="dxa"/>
            <w:vMerge w:val="continue"/>
            <w:vAlign w:val="center"/>
          </w:tcPr>
          <w:p>
            <w:pPr>
              <w:jc w:val="center"/>
              <w:rPr>
                <w:rFonts w:ascii="宋体" w:hAnsi="宋体" w:cs="宋体"/>
                <w:b/>
                <w:bCs/>
                <w:sz w:val="28"/>
                <w:szCs w:val="28"/>
                <w:highlight w:val="none"/>
              </w:rPr>
            </w:pPr>
          </w:p>
        </w:tc>
        <w:tc>
          <w:tcPr>
            <w:tcW w:w="1794" w:type="dxa"/>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表土剥离保护</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5</w:t>
            </w:r>
          </w:p>
        </w:tc>
        <w:tc>
          <w:tcPr>
            <w:tcW w:w="1260" w:type="dxa"/>
            <w:vMerge w:val="continue"/>
            <w:vAlign w:val="center"/>
          </w:tcPr>
          <w:p>
            <w:pPr>
              <w:jc w:val="center"/>
              <w:rPr>
                <w:rFonts w:ascii="宋体" w:hAnsi="宋体" w:cs="宋体"/>
                <w:b/>
                <w:bCs/>
                <w:sz w:val="28"/>
                <w:szCs w:val="28"/>
                <w:highlight w:val="none"/>
              </w:rPr>
            </w:pPr>
          </w:p>
        </w:tc>
        <w:tc>
          <w:tcPr>
            <w:tcW w:w="3186" w:type="dxa"/>
            <w:vMerge w:val="continue"/>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111" w:type="dxa"/>
            <w:vMerge w:val="continue"/>
            <w:vAlign w:val="center"/>
          </w:tcPr>
          <w:p>
            <w:pPr>
              <w:jc w:val="center"/>
              <w:rPr>
                <w:rFonts w:ascii="宋体" w:hAnsi="宋体" w:cs="宋体"/>
                <w:b/>
                <w:bCs/>
                <w:sz w:val="28"/>
                <w:szCs w:val="28"/>
                <w:highlight w:val="none"/>
              </w:rPr>
            </w:pPr>
          </w:p>
        </w:tc>
        <w:tc>
          <w:tcPr>
            <w:tcW w:w="1794" w:type="dxa"/>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弃土 (石、渣 )堆放</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15</w:t>
            </w:r>
          </w:p>
        </w:tc>
        <w:tc>
          <w:tcPr>
            <w:tcW w:w="1260" w:type="dxa"/>
            <w:vMerge w:val="continue"/>
            <w:vAlign w:val="center"/>
          </w:tcPr>
          <w:p>
            <w:pPr>
              <w:jc w:val="center"/>
              <w:rPr>
                <w:rFonts w:ascii="宋体" w:hAnsi="宋体" w:cs="宋体"/>
                <w:b/>
                <w:bCs/>
                <w:sz w:val="28"/>
                <w:szCs w:val="28"/>
                <w:highlight w:val="none"/>
              </w:rPr>
            </w:pPr>
          </w:p>
        </w:tc>
        <w:tc>
          <w:tcPr>
            <w:tcW w:w="3186" w:type="dxa"/>
            <w:vMerge w:val="continue"/>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5" w:type="dxa"/>
            <w:gridSpan w:val="2"/>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水土流失状况</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15</w:t>
            </w:r>
          </w:p>
        </w:tc>
        <w:tc>
          <w:tcPr>
            <w:tcW w:w="1260" w:type="dxa"/>
            <w:vAlign w:val="center"/>
          </w:tcPr>
          <w:p>
            <w:pPr>
              <w:jc w:val="center"/>
              <w:rPr>
                <w:rFonts w:ascii="宋体" w:hAnsi="宋体" w:cs="宋体"/>
                <w:b/>
                <w:bCs/>
                <w:sz w:val="28"/>
                <w:szCs w:val="28"/>
                <w:highlight w:val="none"/>
              </w:rPr>
            </w:pPr>
          </w:p>
        </w:tc>
        <w:tc>
          <w:tcPr>
            <w:tcW w:w="3186" w:type="dxa"/>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111" w:type="dxa"/>
            <w:vMerge w:val="restart"/>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水土</w:t>
            </w:r>
          </w:p>
          <w:p>
            <w:pPr>
              <w:widowControl/>
              <w:jc w:val="center"/>
              <w:rPr>
                <w:rFonts w:ascii="宋体" w:hAnsi="宋体" w:cs="宋体"/>
                <w:b/>
                <w:bCs/>
                <w:sz w:val="28"/>
                <w:szCs w:val="28"/>
                <w:highlight w:val="none"/>
              </w:rPr>
            </w:pPr>
            <w:r>
              <w:rPr>
                <w:rFonts w:hint="eastAsia" w:ascii="宋体" w:hAnsi="宋体" w:cs="宋体"/>
                <w:b/>
                <w:bCs/>
                <w:sz w:val="28"/>
                <w:szCs w:val="28"/>
                <w:highlight w:val="none"/>
              </w:rPr>
              <w:t>流失</w:t>
            </w:r>
          </w:p>
          <w:p>
            <w:pPr>
              <w:widowControl/>
              <w:jc w:val="center"/>
              <w:rPr>
                <w:rFonts w:ascii="宋体" w:hAnsi="宋体" w:cs="宋体"/>
                <w:b/>
                <w:bCs/>
                <w:sz w:val="28"/>
                <w:szCs w:val="28"/>
                <w:highlight w:val="none"/>
              </w:rPr>
            </w:pPr>
            <w:r>
              <w:rPr>
                <w:rFonts w:hint="eastAsia" w:ascii="宋体" w:hAnsi="宋体" w:cs="宋体"/>
                <w:b/>
                <w:bCs/>
                <w:sz w:val="28"/>
                <w:szCs w:val="28"/>
                <w:highlight w:val="none"/>
              </w:rPr>
              <w:t>防治</w:t>
            </w:r>
          </w:p>
          <w:p>
            <w:pPr>
              <w:widowControl/>
              <w:jc w:val="center"/>
              <w:rPr>
                <w:rFonts w:ascii="宋体" w:hAnsi="宋体" w:cs="宋体"/>
                <w:b/>
                <w:bCs/>
                <w:sz w:val="28"/>
                <w:szCs w:val="28"/>
                <w:highlight w:val="none"/>
              </w:rPr>
            </w:pPr>
            <w:r>
              <w:rPr>
                <w:rFonts w:hint="eastAsia" w:ascii="宋体" w:hAnsi="宋体" w:cs="宋体"/>
                <w:b/>
                <w:bCs/>
                <w:sz w:val="28"/>
                <w:szCs w:val="28"/>
                <w:highlight w:val="none"/>
              </w:rPr>
              <w:t>成效</w:t>
            </w:r>
          </w:p>
        </w:tc>
        <w:tc>
          <w:tcPr>
            <w:tcW w:w="1794" w:type="dxa"/>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工程措施</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20</w:t>
            </w:r>
          </w:p>
        </w:tc>
        <w:tc>
          <w:tcPr>
            <w:tcW w:w="1260" w:type="dxa"/>
            <w:vMerge w:val="restart"/>
            <w:vAlign w:val="center"/>
          </w:tcPr>
          <w:p>
            <w:pPr>
              <w:jc w:val="center"/>
              <w:rPr>
                <w:rFonts w:ascii="宋体" w:hAnsi="宋体" w:cs="宋体"/>
                <w:b/>
                <w:bCs/>
                <w:sz w:val="28"/>
                <w:szCs w:val="28"/>
                <w:highlight w:val="none"/>
              </w:rPr>
            </w:pPr>
          </w:p>
        </w:tc>
        <w:tc>
          <w:tcPr>
            <w:tcW w:w="3186" w:type="dxa"/>
            <w:vMerge w:val="restart"/>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111" w:type="dxa"/>
            <w:vMerge w:val="continue"/>
            <w:vAlign w:val="center"/>
          </w:tcPr>
          <w:p>
            <w:pPr>
              <w:jc w:val="center"/>
              <w:rPr>
                <w:rFonts w:ascii="宋体" w:hAnsi="宋体" w:cs="宋体"/>
                <w:b/>
                <w:bCs/>
                <w:sz w:val="28"/>
                <w:szCs w:val="28"/>
                <w:highlight w:val="none"/>
              </w:rPr>
            </w:pPr>
          </w:p>
        </w:tc>
        <w:tc>
          <w:tcPr>
            <w:tcW w:w="1794" w:type="dxa"/>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植物措施</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15</w:t>
            </w:r>
          </w:p>
        </w:tc>
        <w:tc>
          <w:tcPr>
            <w:tcW w:w="1260" w:type="dxa"/>
            <w:vMerge w:val="continue"/>
            <w:vAlign w:val="center"/>
          </w:tcPr>
          <w:p>
            <w:pPr>
              <w:jc w:val="center"/>
              <w:rPr>
                <w:rFonts w:ascii="宋体" w:hAnsi="宋体" w:cs="宋体"/>
                <w:b/>
                <w:bCs/>
                <w:sz w:val="28"/>
                <w:szCs w:val="28"/>
                <w:highlight w:val="none"/>
              </w:rPr>
            </w:pPr>
          </w:p>
        </w:tc>
        <w:tc>
          <w:tcPr>
            <w:tcW w:w="3186" w:type="dxa"/>
            <w:vMerge w:val="continue"/>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111" w:type="dxa"/>
            <w:vMerge w:val="continue"/>
            <w:vAlign w:val="center"/>
          </w:tcPr>
          <w:p>
            <w:pPr>
              <w:jc w:val="center"/>
              <w:rPr>
                <w:rFonts w:ascii="宋体" w:hAnsi="宋体" w:cs="宋体"/>
                <w:b/>
                <w:bCs/>
                <w:sz w:val="28"/>
                <w:szCs w:val="28"/>
                <w:highlight w:val="none"/>
              </w:rPr>
            </w:pPr>
          </w:p>
        </w:tc>
        <w:tc>
          <w:tcPr>
            <w:tcW w:w="1794" w:type="dxa"/>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临时措施</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10</w:t>
            </w:r>
          </w:p>
        </w:tc>
        <w:tc>
          <w:tcPr>
            <w:tcW w:w="1260" w:type="dxa"/>
            <w:vMerge w:val="continue"/>
            <w:vAlign w:val="center"/>
          </w:tcPr>
          <w:p>
            <w:pPr>
              <w:jc w:val="center"/>
              <w:rPr>
                <w:rFonts w:ascii="宋体" w:hAnsi="宋体" w:cs="宋体"/>
                <w:b/>
                <w:bCs/>
                <w:sz w:val="28"/>
                <w:szCs w:val="28"/>
                <w:highlight w:val="none"/>
              </w:rPr>
            </w:pPr>
          </w:p>
        </w:tc>
        <w:tc>
          <w:tcPr>
            <w:tcW w:w="3186" w:type="dxa"/>
            <w:vMerge w:val="continue"/>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5" w:type="dxa"/>
            <w:gridSpan w:val="2"/>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水土流失危害</w:t>
            </w:r>
          </w:p>
        </w:tc>
        <w:tc>
          <w:tcPr>
            <w:tcW w:w="1540" w:type="dxa"/>
            <w:vAlign w:val="center"/>
          </w:tcPr>
          <w:p>
            <w:pPr>
              <w:jc w:val="center"/>
              <w:rPr>
                <w:rFonts w:ascii="宋体" w:hAnsi="宋体" w:cs="宋体"/>
                <w:b/>
                <w:bCs/>
                <w:sz w:val="28"/>
                <w:szCs w:val="28"/>
                <w:highlight w:val="none"/>
              </w:rPr>
            </w:pPr>
            <w:r>
              <w:rPr>
                <w:rFonts w:hint="eastAsia" w:ascii="宋体" w:hAnsi="宋体" w:cs="宋体"/>
                <w:b/>
                <w:bCs/>
                <w:sz w:val="28"/>
                <w:szCs w:val="28"/>
                <w:highlight w:val="none"/>
              </w:rPr>
              <w:t>5</w:t>
            </w:r>
          </w:p>
        </w:tc>
        <w:tc>
          <w:tcPr>
            <w:tcW w:w="1260" w:type="dxa"/>
            <w:vAlign w:val="center"/>
          </w:tcPr>
          <w:p>
            <w:pPr>
              <w:jc w:val="center"/>
              <w:rPr>
                <w:rFonts w:ascii="宋体" w:hAnsi="宋体" w:cs="宋体"/>
                <w:b/>
                <w:bCs/>
                <w:sz w:val="28"/>
                <w:szCs w:val="28"/>
                <w:highlight w:val="none"/>
              </w:rPr>
            </w:pPr>
          </w:p>
        </w:tc>
        <w:tc>
          <w:tcPr>
            <w:tcW w:w="3186" w:type="dxa"/>
            <w:vAlign w:val="center"/>
          </w:tcPr>
          <w:p>
            <w:pPr>
              <w:jc w:val="center"/>
              <w:rPr>
                <w:rFonts w:ascii="宋体" w:hAnsi="宋体" w:cs="宋体"/>
                <w:b/>
                <w:bCs/>
                <w:sz w:val="28"/>
                <w:szCs w:val="2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905" w:type="dxa"/>
            <w:gridSpan w:val="2"/>
            <w:vAlign w:val="center"/>
          </w:tcPr>
          <w:p>
            <w:pPr>
              <w:widowControl/>
              <w:jc w:val="center"/>
              <w:rPr>
                <w:rFonts w:ascii="宋体" w:hAnsi="宋体" w:cs="宋体"/>
                <w:b/>
                <w:bCs/>
                <w:sz w:val="28"/>
                <w:szCs w:val="28"/>
                <w:highlight w:val="none"/>
              </w:rPr>
            </w:pPr>
            <w:r>
              <w:rPr>
                <w:rFonts w:hint="eastAsia" w:ascii="宋体" w:hAnsi="宋体" w:cs="宋体"/>
                <w:b/>
                <w:bCs/>
                <w:sz w:val="28"/>
                <w:szCs w:val="28"/>
                <w:highlight w:val="none"/>
              </w:rPr>
              <w:t>合 计</w:t>
            </w:r>
          </w:p>
        </w:tc>
        <w:tc>
          <w:tcPr>
            <w:tcW w:w="1540" w:type="dxa"/>
            <w:vAlign w:val="center"/>
          </w:tcPr>
          <w:p>
            <w:pPr>
              <w:jc w:val="center"/>
              <w:rPr>
                <w:rFonts w:ascii="宋体" w:hAnsi="宋体" w:cs="宋体"/>
                <w:b/>
                <w:bCs/>
                <w:sz w:val="28"/>
                <w:szCs w:val="28"/>
                <w:highlight w:val="none"/>
              </w:rPr>
            </w:pPr>
          </w:p>
        </w:tc>
        <w:tc>
          <w:tcPr>
            <w:tcW w:w="1260" w:type="dxa"/>
            <w:vAlign w:val="center"/>
          </w:tcPr>
          <w:p>
            <w:pPr>
              <w:jc w:val="center"/>
              <w:rPr>
                <w:rFonts w:ascii="宋体" w:hAnsi="宋体" w:cs="宋体"/>
                <w:b/>
                <w:bCs/>
                <w:sz w:val="28"/>
                <w:szCs w:val="28"/>
                <w:highlight w:val="none"/>
              </w:rPr>
            </w:pPr>
          </w:p>
        </w:tc>
        <w:tc>
          <w:tcPr>
            <w:tcW w:w="3186" w:type="dxa"/>
            <w:vAlign w:val="center"/>
          </w:tcPr>
          <w:p>
            <w:pPr>
              <w:jc w:val="center"/>
              <w:rPr>
                <w:rFonts w:ascii="宋体" w:hAnsi="宋体" w:cs="宋体"/>
                <w:b/>
                <w:bCs/>
                <w:sz w:val="28"/>
                <w:szCs w:val="28"/>
                <w:highlight w:val="none"/>
              </w:rPr>
            </w:pPr>
          </w:p>
        </w:tc>
      </w:tr>
    </w:tbl>
    <w:p>
      <w:pPr>
        <w:rPr>
          <w:highlight w:val="none"/>
        </w:rPr>
      </w:pPr>
    </w:p>
    <w:p>
      <w:pPr>
        <w:pStyle w:val="2"/>
        <w:rPr>
          <w:rFonts w:hAnsi="宋体" w:cs="宋体"/>
          <w:bCs/>
          <w:sz w:val="24"/>
          <w:szCs w:val="28"/>
          <w:highlight w:val="none"/>
        </w:rPr>
      </w:pPr>
    </w:p>
    <w:p>
      <w:pPr>
        <w:rPr>
          <w:rFonts w:ascii="宋体" w:hAnsi="宋体" w:cs="宋体"/>
          <w:b/>
          <w:bCs/>
          <w:sz w:val="28"/>
          <w:szCs w:val="28"/>
          <w:highlight w:val="none"/>
        </w:rPr>
      </w:pPr>
      <w:r>
        <w:rPr>
          <w:rFonts w:hint="eastAsia" w:ascii="宋体" w:hAnsi="宋体" w:cs="宋体"/>
          <w:b/>
          <w:bCs/>
          <w:sz w:val="28"/>
          <w:szCs w:val="28"/>
          <w:highlight w:val="none"/>
        </w:rPr>
        <w:br w:type="page"/>
      </w:r>
    </w:p>
    <w:p>
      <w:pPr>
        <w:pStyle w:val="2"/>
        <w:rPr>
          <w:rFonts w:hAnsi="宋体" w:cs="宋体"/>
          <w:bCs/>
          <w:sz w:val="28"/>
          <w:szCs w:val="28"/>
          <w:highlight w:val="none"/>
        </w:rPr>
      </w:pPr>
      <w:r>
        <w:rPr>
          <w:rFonts w:hint="eastAsia" w:hAnsi="宋体" w:cs="宋体"/>
          <w:bCs/>
          <w:sz w:val="28"/>
          <w:szCs w:val="28"/>
          <w:highlight w:val="none"/>
        </w:rPr>
        <w:t xml:space="preserve">附件 2 </w:t>
      </w:r>
    </w:p>
    <w:p>
      <w:pPr>
        <w:pStyle w:val="2"/>
        <w:rPr>
          <w:rFonts w:hAnsi="宋体" w:cs="宋体"/>
          <w:bCs/>
          <w:sz w:val="28"/>
          <w:szCs w:val="28"/>
          <w:highlight w:val="none"/>
        </w:rPr>
      </w:pPr>
      <w:r>
        <w:rPr>
          <w:rFonts w:hint="eastAsia" w:hAnsi="宋体" w:cs="宋体"/>
          <w:bCs/>
          <w:sz w:val="28"/>
          <w:szCs w:val="28"/>
          <w:highlight w:val="none"/>
        </w:rPr>
        <w:t>生产建设项目水土保持监测三色评价赋分方法 (试行 )</w:t>
      </w:r>
    </w:p>
    <w:tbl>
      <w:tblPr>
        <w:tblStyle w:val="3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0"/>
        <w:gridCol w:w="1155"/>
        <w:gridCol w:w="870"/>
        <w:gridCol w:w="59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65" w:type="dxa"/>
            <w:gridSpan w:val="2"/>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评价指标</w:t>
            </w:r>
          </w:p>
        </w:tc>
        <w:tc>
          <w:tcPr>
            <w:tcW w:w="870"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分值</w:t>
            </w:r>
          </w:p>
        </w:tc>
        <w:tc>
          <w:tcPr>
            <w:tcW w:w="5956"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赋分方法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910" w:type="dxa"/>
            <w:vMerge w:val="restart"/>
            <w:vAlign w:val="center"/>
          </w:tcPr>
          <w:p>
            <w:pPr>
              <w:widowControl/>
              <w:jc w:val="center"/>
              <w:rPr>
                <w:rFonts w:asciiTheme="minorEastAsia" w:hAnsiTheme="minorEastAsia" w:eastAsiaTheme="minorEastAsia" w:cstheme="minorEastAsia"/>
                <w:sz w:val="28"/>
                <w:szCs w:val="28"/>
                <w:highlight w:val="none"/>
              </w:rPr>
            </w:pPr>
            <w:r>
              <w:rPr>
                <w:rFonts w:hint="eastAsia" w:asciiTheme="minorEastAsia" w:hAnsiTheme="minorEastAsia" w:eastAsiaTheme="minorEastAsia" w:cstheme="minorEastAsia"/>
                <w:sz w:val="28"/>
                <w:szCs w:val="28"/>
                <w:highlight w:val="none"/>
              </w:rPr>
              <w:t>扰动</w:t>
            </w:r>
          </w:p>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土地情况</w:t>
            </w:r>
          </w:p>
        </w:tc>
        <w:tc>
          <w:tcPr>
            <w:tcW w:w="1155"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扰动范围控制</w:t>
            </w:r>
          </w:p>
        </w:tc>
        <w:tc>
          <w:tcPr>
            <w:tcW w:w="870" w:type="dxa"/>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15</w:t>
            </w:r>
          </w:p>
        </w:tc>
        <w:tc>
          <w:tcPr>
            <w:tcW w:w="5956"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擅自扩大施工扰动面积达到1000平方米,存在1处扣1分，超过1000平方米的按照其倍数扣分（不足1O00平方米的部分不扣分）扣完为止。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910" w:type="dxa"/>
            <w:vMerge w:val="continue"/>
            <w:vAlign w:val="center"/>
          </w:tcPr>
          <w:p>
            <w:pPr>
              <w:jc w:val="center"/>
              <w:rPr>
                <w:rFonts w:asciiTheme="minorEastAsia" w:hAnsiTheme="minorEastAsia" w:eastAsiaTheme="minorEastAsia" w:cstheme="minorEastAsia"/>
                <w:position w:val="0"/>
                <w:sz w:val="28"/>
                <w:szCs w:val="28"/>
                <w:highlight w:val="none"/>
              </w:rPr>
            </w:pPr>
          </w:p>
        </w:tc>
        <w:tc>
          <w:tcPr>
            <w:tcW w:w="1155"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表土剥离保护</w:t>
            </w:r>
          </w:p>
        </w:tc>
        <w:tc>
          <w:tcPr>
            <w:tcW w:w="870" w:type="dxa"/>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5</w:t>
            </w:r>
          </w:p>
        </w:tc>
        <w:tc>
          <w:tcPr>
            <w:tcW w:w="5956" w:type="dxa"/>
            <w:vAlign w:val="center"/>
          </w:tcPr>
          <w:p>
            <w:pPr>
              <w:widowControl/>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表土剥离保护措施未实施面积达到1O00平方米,存在1处扣1分 ,超过 1000平方米的按照其倍数扣分 (不足1O00平方米的部分不扣分），扣完为止。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910" w:type="dxa"/>
            <w:vMerge w:val="continue"/>
            <w:vAlign w:val="center"/>
          </w:tcPr>
          <w:p>
            <w:pPr>
              <w:jc w:val="center"/>
              <w:rPr>
                <w:rFonts w:asciiTheme="minorEastAsia" w:hAnsiTheme="minorEastAsia" w:eastAsiaTheme="minorEastAsia" w:cstheme="minorEastAsia"/>
                <w:position w:val="0"/>
                <w:sz w:val="28"/>
                <w:szCs w:val="28"/>
                <w:highlight w:val="none"/>
              </w:rPr>
            </w:pPr>
          </w:p>
        </w:tc>
        <w:tc>
          <w:tcPr>
            <w:tcW w:w="1155"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弃土 (石、渣 )堆放</w:t>
            </w:r>
          </w:p>
        </w:tc>
        <w:tc>
          <w:tcPr>
            <w:tcW w:w="870" w:type="dxa"/>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15</w:t>
            </w:r>
          </w:p>
        </w:tc>
        <w:tc>
          <w:tcPr>
            <w:tcW w:w="5956"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在水土保持方案确定的专门存放地外新设弃渣场且未按规定履行手续的,存在1处 3级以上弃渣场的扣 5分 ,存在1处3级以下弃渣场的扣 3分;乱堆乱弃或者顺坡溜渣,存在1处扣1分 。扣完为止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65" w:type="dxa"/>
            <w:gridSpan w:val="2"/>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水土流失状况</w:t>
            </w:r>
          </w:p>
        </w:tc>
        <w:tc>
          <w:tcPr>
            <w:tcW w:w="870" w:type="dxa"/>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15</w:t>
            </w:r>
          </w:p>
        </w:tc>
        <w:tc>
          <w:tcPr>
            <w:tcW w:w="5956"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根据</w:t>
            </w:r>
            <w:r>
              <w:rPr>
                <w:rFonts w:hint="eastAsia" w:asciiTheme="minorEastAsia" w:hAnsiTheme="minorEastAsia" w:eastAsiaTheme="minorEastAsia" w:cstheme="minorEastAsia"/>
                <w:sz w:val="28"/>
                <w:szCs w:val="28"/>
                <w:highlight w:val="none"/>
              </w:rPr>
              <w:t>土</w:t>
            </w:r>
            <w:r>
              <w:rPr>
                <w:rFonts w:hint="eastAsia" w:asciiTheme="minorEastAsia" w:hAnsiTheme="minorEastAsia" w:eastAsiaTheme="minorEastAsia" w:cstheme="minorEastAsia"/>
                <w:kern w:val="0"/>
                <w:sz w:val="28"/>
                <w:szCs w:val="28"/>
                <w:highlight w:val="none"/>
                <w:lang w:bidi="ar"/>
              </w:rPr>
              <w:t>壤流失总量扣分,每100立方米扣 1分 ,不足100立方米的部分不扣分。扣完为止。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910" w:type="dxa"/>
            <w:vMerge w:val="restart"/>
            <w:vAlign w:val="center"/>
          </w:tcPr>
          <w:p>
            <w:pPr>
              <w:widowControl/>
              <w:jc w:val="center"/>
              <w:rPr>
                <w:rFonts w:asciiTheme="minorEastAsia" w:hAnsiTheme="minorEastAsia" w:eastAsiaTheme="minorEastAsia" w:cstheme="minorEastAsia"/>
                <w:sz w:val="28"/>
                <w:szCs w:val="28"/>
                <w:highlight w:val="none"/>
              </w:rPr>
            </w:pPr>
            <w:r>
              <w:rPr>
                <w:rFonts w:hint="eastAsia" w:asciiTheme="minorEastAsia" w:hAnsiTheme="minorEastAsia" w:eastAsiaTheme="minorEastAsia" w:cstheme="minorEastAsia"/>
                <w:sz w:val="28"/>
                <w:szCs w:val="28"/>
                <w:highlight w:val="none"/>
              </w:rPr>
              <w:t>水土</w:t>
            </w:r>
          </w:p>
          <w:p>
            <w:pPr>
              <w:widowControl/>
              <w:jc w:val="center"/>
              <w:rPr>
                <w:rFonts w:asciiTheme="minorEastAsia" w:hAnsiTheme="minorEastAsia" w:eastAsiaTheme="minorEastAsia" w:cstheme="minorEastAsia"/>
                <w:sz w:val="28"/>
                <w:szCs w:val="28"/>
                <w:highlight w:val="none"/>
              </w:rPr>
            </w:pPr>
            <w:r>
              <w:rPr>
                <w:rFonts w:hint="eastAsia" w:asciiTheme="minorEastAsia" w:hAnsiTheme="minorEastAsia" w:eastAsiaTheme="minorEastAsia" w:cstheme="minorEastAsia"/>
                <w:sz w:val="28"/>
                <w:szCs w:val="28"/>
                <w:highlight w:val="none"/>
              </w:rPr>
              <w:t>流失</w:t>
            </w:r>
          </w:p>
          <w:p>
            <w:pPr>
              <w:widowControl/>
              <w:jc w:val="center"/>
              <w:rPr>
                <w:rFonts w:asciiTheme="minorEastAsia" w:hAnsiTheme="minorEastAsia" w:eastAsiaTheme="minorEastAsia" w:cstheme="minorEastAsia"/>
                <w:sz w:val="28"/>
                <w:szCs w:val="28"/>
                <w:highlight w:val="none"/>
              </w:rPr>
            </w:pPr>
            <w:r>
              <w:rPr>
                <w:rFonts w:hint="eastAsia" w:asciiTheme="minorEastAsia" w:hAnsiTheme="minorEastAsia" w:eastAsiaTheme="minorEastAsia" w:cstheme="minorEastAsia"/>
                <w:sz w:val="28"/>
                <w:szCs w:val="28"/>
                <w:highlight w:val="none"/>
              </w:rPr>
              <w:t>防治</w:t>
            </w:r>
          </w:p>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成效</w:t>
            </w:r>
          </w:p>
        </w:tc>
        <w:tc>
          <w:tcPr>
            <w:tcW w:w="1155"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工程措施</w:t>
            </w:r>
          </w:p>
        </w:tc>
        <w:tc>
          <w:tcPr>
            <w:tcW w:w="870" w:type="dxa"/>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20</w:t>
            </w:r>
          </w:p>
        </w:tc>
        <w:tc>
          <w:tcPr>
            <w:tcW w:w="5956"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水土保持工程措施(拦挡、截排水、工程护坡、土地整治等落实不及时、不到位,存在1处 扣 1分 ;其中弃渣场“未拦先弃 ”的,存在 1处 3级 以上弃渣场的扣3分 ,存在 l处 3 级以下弃渣场的扣2分。扣完为止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910" w:type="dxa"/>
            <w:vMerge w:val="continue"/>
            <w:vAlign w:val="center"/>
          </w:tcPr>
          <w:p>
            <w:pPr>
              <w:jc w:val="center"/>
              <w:rPr>
                <w:rFonts w:asciiTheme="minorEastAsia" w:hAnsiTheme="minorEastAsia" w:eastAsiaTheme="minorEastAsia" w:cstheme="minorEastAsia"/>
                <w:position w:val="0"/>
                <w:sz w:val="28"/>
                <w:szCs w:val="28"/>
                <w:highlight w:val="none"/>
              </w:rPr>
            </w:pPr>
          </w:p>
        </w:tc>
        <w:tc>
          <w:tcPr>
            <w:tcW w:w="1155"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植物措施</w:t>
            </w:r>
          </w:p>
        </w:tc>
        <w:tc>
          <w:tcPr>
            <w:tcW w:w="870" w:type="dxa"/>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15</w:t>
            </w:r>
          </w:p>
        </w:tc>
        <w:tc>
          <w:tcPr>
            <w:tcW w:w="5956"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植物措施未落实或者已落实的成活率、履盖率不达标面积达到 lO00平方米,存 在 1处 扣 1分 ,超过1000平方米的按照其倍数扣分 (不 足 lO00平方米的部分不扣分 ）。扣完为止。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910" w:type="dxa"/>
            <w:vMerge w:val="continue"/>
            <w:vAlign w:val="center"/>
          </w:tcPr>
          <w:p>
            <w:pPr>
              <w:jc w:val="center"/>
              <w:rPr>
                <w:rFonts w:asciiTheme="minorEastAsia" w:hAnsiTheme="minorEastAsia" w:eastAsiaTheme="minorEastAsia" w:cstheme="minorEastAsia"/>
                <w:position w:val="0"/>
                <w:sz w:val="28"/>
                <w:szCs w:val="28"/>
                <w:highlight w:val="none"/>
              </w:rPr>
            </w:pPr>
          </w:p>
        </w:tc>
        <w:tc>
          <w:tcPr>
            <w:tcW w:w="1155"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临时措施</w:t>
            </w:r>
          </w:p>
        </w:tc>
        <w:tc>
          <w:tcPr>
            <w:tcW w:w="870" w:type="dxa"/>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10</w:t>
            </w:r>
          </w:p>
        </w:tc>
        <w:tc>
          <w:tcPr>
            <w:tcW w:w="5956"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水土保持临时防护措施(拦挡、排水、苫盖、植草、限定扰动范围等 )落实不及时、不到位,存在 1处扣 1分 。扣完为止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65" w:type="dxa"/>
            <w:gridSpan w:val="2"/>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水土流失危害</w:t>
            </w:r>
          </w:p>
        </w:tc>
        <w:tc>
          <w:tcPr>
            <w:tcW w:w="870" w:type="dxa"/>
            <w:vAlign w:val="center"/>
          </w:tcPr>
          <w:p>
            <w:pPr>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sz w:val="28"/>
                <w:szCs w:val="28"/>
                <w:highlight w:val="none"/>
              </w:rPr>
              <w:t>5</w:t>
            </w:r>
          </w:p>
        </w:tc>
        <w:tc>
          <w:tcPr>
            <w:tcW w:w="5956" w:type="dxa"/>
            <w:vAlign w:val="center"/>
          </w:tcPr>
          <w:p>
            <w:pPr>
              <w:widowControl/>
              <w:jc w:val="center"/>
              <w:rPr>
                <w:rFonts w:asciiTheme="minorEastAsia" w:hAnsiTheme="minorEastAsia" w:eastAsiaTheme="minorEastAsia" w:cstheme="minorEastAsia"/>
                <w:position w:val="0"/>
                <w:sz w:val="28"/>
                <w:szCs w:val="28"/>
                <w:highlight w:val="none"/>
              </w:rPr>
            </w:pPr>
            <w:r>
              <w:rPr>
                <w:rFonts w:hint="eastAsia" w:asciiTheme="minorEastAsia" w:hAnsiTheme="minorEastAsia" w:eastAsiaTheme="minorEastAsia" w:cstheme="minorEastAsia"/>
                <w:kern w:val="0"/>
                <w:sz w:val="28"/>
                <w:szCs w:val="28"/>
                <w:highlight w:val="none"/>
                <w:lang w:bidi="ar"/>
              </w:rPr>
              <w:t>一般危害扣 5分;严重危害总得分为0分</w:t>
            </w:r>
          </w:p>
        </w:tc>
      </w:tr>
    </w:tbl>
    <w:p>
      <w:pPr>
        <w:widowControl/>
        <w:jc w:val="left"/>
        <w:rPr>
          <w:rFonts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 xml:space="preserve">备注：1.监测季报三色评价得分为各项评价指标得分之和,满分为lO0分 。 </w:t>
      </w:r>
    </w:p>
    <w:p>
      <w:pPr>
        <w:widowControl/>
        <w:jc w:val="left"/>
        <w:rPr>
          <w:rFonts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 xml:space="preserve">2.发生严重水土流失危害事件,或者拒不落实水行政主管部门限期整改要求的生产建设项目,实 行“一票否决”,三色评价结论为红色,总得分为0。 </w:t>
      </w:r>
    </w:p>
    <w:p>
      <w:pPr>
        <w:widowControl/>
        <w:jc w:val="left"/>
        <w:rPr>
          <w:rFonts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3.上述扣分规则适用趄过100公顷的生产建设项目;不超过lO0公顷的生产建设项目各项评价指标 (除“水土流失危害 ”)按上述扣分规则的两倍扣分。</w:t>
      </w:r>
    </w:p>
    <w:p>
      <w:pPr>
        <w:rPr>
          <w:rFonts w:eastAsia="隶书"/>
          <w:b/>
          <w:bCs/>
          <w:position w:val="0"/>
          <w:sz w:val="84"/>
          <w:highlight w:val="none"/>
        </w:rPr>
      </w:pPr>
    </w:p>
    <w:p>
      <w:pPr>
        <w:ind w:firstLine="1681" w:firstLineChars="200"/>
        <w:jc w:val="center"/>
        <w:rPr>
          <w:rFonts w:eastAsia="隶书"/>
          <w:b/>
          <w:bCs/>
          <w:position w:val="0"/>
          <w:sz w:val="84"/>
          <w:highlight w:val="none"/>
        </w:rPr>
      </w:pPr>
    </w:p>
    <w:p>
      <w:pPr>
        <w:pStyle w:val="3"/>
        <w:keepLines/>
        <w:spacing w:line="360" w:lineRule="auto"/>
        <w:jc w:val="center"/>
        <w:rPr>
          <w:rFonts w:ascii="黑体" w:eastAsia="黑体"/>
          <w:b w:val="0"/>
          <w:bCs/>
          <w:kern w:val="44"/>
          <w:position w:val="0"/>
          <w:szCs w:val="32"/>
          <w:highlight w:val="none"/>
        </w:rPr>
      </w:pPr>
      <w:bookmarkStart w:id="893" w:name="_Toc241635458"/>
      <w:bookmarkStart w:id="894" w:name="_Toc305020901"/>
      <w:bookmarkStart w:id="895" w:name="_Toc8136"/>
      <w:r>
        <w:rPr>
          <w:rFonts w:hint="eastAsia" w:ascii="黑体" w:eastAsia="黑体"/>
          <w:b w:val="0"/>
          <w:bCs/>
          <w:kern w:val="44"/>
          <w:position w:val="0"/>
          <w:szCs w:val="32"/>
          <w:highlight w:val="none"/>
        </w:rPr>
        <w:t xml:space="preserve">第六章  </w:t>
      </w:r>
      <w:bookmarkEnd w:id="893"/>
      <w:bookmarkEnd w:id="894"/>
      <w:r>
        <w:rPr>
          <w:rFonts w:hint="eastAsia" w:ascii="黑体" w:eastAsia="黑体"/>
          <w:b w:val="0"/>
          <w:bCs/>
          <w:kern w:val="44"/>
          <w:position w:val="0"/>
          <w:szCs w:val="32"/>
          <w:highlight w:val="none"/>
        </w:rPr>
        <w:t>图纸和资料</w:t>
      </w:r>
      <w:bookmarkEnd w:id="895"/>
    </w:p>
    <w:p>
      <w:pPr>
        <w:ind w:firstLine="480" w:firstLineChars="200"/>
        <w:rPr>
          <w:position w:val="0"/>
          <w:sz w:val="24"/>
          <w:highlight w:val="none"/>
        </w:rPr>
      </w:pPr>
    </w:p>
    <w:p>
      <w:pPr>
        <w:ind w:firstLine="480" w:firstLineChars="200"/>
        <w:rPr>
          <w:position w:val="0"/>
          <w:sz w:val="24"/>
          <w:highlight w:val="none"/>
        </w:rPr>
      </w:pPr>
      <w:r>
        <w:rPr>
          <w:rFonts w:hint="eastAsia"/>
          <w:position w:val="0"/>
          <w:sz w:val="24"/>
          <w:highlight w:val="none"/>
        </w:rPr>
        <w:t xml:space="preserve">                       以招标人提供的为准</w:t>
      </w:r>
    </w:p>
    <w:p>
      <w:pPr>
        <w:ind w:firstLine="480" w:firstLineChars="200"/>
        <w:rPr>
          <w:position w:val="0"/>
          <w:sz w:val="24"/>
          <w:highlight w:val="none"/>
        </w:rPr>
      </w:pPr>
    </w:p>
    <w:p>
      <w:pPr>
        <w:ind w:firstLine="480" w:firstLineChars="200"/>
        <w:rPr>
          <w:position w:val="0"/>
          <w:sz w:val="24"/>
          <w:highlight w:val="none"/>
        </w:rPr>
      </w:pPr>
      <w:r>
        <w:rPr>
          <w:position w:val="0"/>
          <w:sz w:val="24"/>
          <w:highlight w:val="none"/>
        </w:rPr>
        <w:br w:type="page"/>
      </w: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tabs>
          <w:tab w:val="left" w:pos="5860"/>
        </w:tabs>
        <w:ind w:firstLine="480" w:firstLineChars="200"/>
        <w:rPr>
          <w:position w:val="0"/>
          <w:sz w:val="24"/>
          <w:highlight w:val="none"/>
        </w:rPr>
      </w:pPr>
    </w:p>
    <w:p>
      <w:pPr>
        <w:pStyle w:val="3"/>
        <w:spacing w:before="360" w:beforeLines="150" w:after="240" w:afterLines="100" w:line="440" w:lineRule="atLeast"/>
        <w:jc w:val="center"/>
        <w:rPr>
          <w:rFonts w:eastAsia="黑体"/>
          <w:b w:val="0"/>
          <w:sz w:val="56"/>
          <w:szCs w:val="56"/>
          <w:highlight w:val="none"/>
        </w:rPr>
      </w:pPr>
      <w:bookmarkStart w:id="896" w:name="_Toc234833252"/>
      <w:bookmarkStart w:id="897" w:name="_Toc510015795"/>
      <w:bookmarkStart w:id="898" w:name="_Toc18045"/>
      <w:r>
        <w:rPr>
          <w:rFonts w:eastAsia="黑体"/>
          <w:b w:val="0"/>
          <w:sz w:val="56"/>
          <w:szCs w:val="56"/>
          <w:highlight w:val="none"/>
        </w:rPr>
        <w:t>第七章  投标文件格式</w:t>
      </w:r>
      <w:r>
        <w:rPr>
          <w:rStyle w:val="48"/>
          <w:rFonts w:eastAsia="黑体"/>
          <w:sz w:val="56"/>
          <w:szCs w:val="56"/>
          <w:highlight w:val="none"/>
        </w:rPr>
        <w:footnoteReference w:id="14"/>
      </w:r>
      <w:bookmarkEnd w:id="896"/>
      <w:bookmarkEnd w:id="897"/>
      <w:bookmarkEnd w:id="898"/>
    </w:p>
    <w:p>
      <w:pPr>
        <w:spacing w:line="440" w:lineRule="atLeast"/>
        <w:jc w:val="center"/>
        <w:rPr>
          <w:rFonts w:eastAsia="黑体"/>
          <w:sz w:val="36"/>
          <w:szCs w:val="36"/>
          <w:highlight w:val="none"/>
        </w:rPr>
      </w:pPr>
    </w:p>
    <w:p>
      <w:pPr>
        <w:spacing w:line="440" w:lineRule="atLeast"/>
        <w:rPr>
          <w:rFonts w:eastAsia="黑体"/>
          <w:sz w:val="20"/>
          <w:highlight w:val="none"/>
        </w:rPr>
      </w:pPr>
      <w:r>
        <w:rPr>
          <w:rFonts w:eastAsia="黑体"/>
          <w:sz w:val="20"/>
          <w:highlight w:val="none"/>
        </w:rPr>
        <w:t xml:space="preserve"> </w:t>
      </w:r>
    </w:p>
    <w:p>
      <w:pPr>
        <w:spacing w:line="440" w:lineRule="atLeast"/>
        <w:rPr>
          <w:rFonts w:eastAsia="黑体"/>
          <w:sz w:val="20"/>
          <w:highlight w:val="none"/>
        </w:rPr>
        <w:sectPr>
          <w:footnotePr>
            <w:numFmt w:val="decimalEnclosedCircleChinese"/>
            <w:numRestart w:val="eachPage"/>
          </w:footnotePr>
          <w:pgSz w:w="11907" w:h="16840"/>
          <w:pgMar w:top="1588" w:right="1588" w:bottom="1474" w:left="1644" w:header="851" w:footer="851" w:gutter="0"/>
          <w:pgBorders>
            <w:top w:val="none" w:sz="0" w:space="0"/>
            <w:left w:val="none" w:sz="0" w:space="0"/>
            <w:bottom w:val="none" w:sz="0" w:space="0"/>
            <w:right w:val="none" w:sz="0" w:space="0"/>
          </w:pgBorders>
          <w:cols w:space="425" w:num="1"/>
          <w:docGrid w:linePitch="312" w:charSpace="0"/>
        </w:sectPr>
      </w:pPr>
    </w:p>
    <w:p>
      <w:pPr>
        <w:spacing w:line="440" w:lineRule="atLeast"/>
        <w:rPr>
          <w:rFonts w:eastAsia="黑体"/>
          <w:sz w:val="20"/>
          <w:highlight w:val="none"/>
        </w:rPr>
      </w:pPr>
    </w:p>
    <w:p>
      <w:pPr>
        <w:spacing w:line="440" w:lineRule="atLeast"/>
        <w:rPr>
          <w:rFonts w:eastAsia="黑体"/>
          <w:sz w:val="20"/>
          <w:highlight w:val="none"/>
        </w:rPr>
      </w:pPr>
    </w:p>
    <w:p>
      <w:pPr>
        <w:pStyle w:val="10"/>
        <w:spacing w:line="440" w:lineRule="atLeast"/>
        <w:rPr>
          <w:rFonts w:eastAsia="黑体"/>
          <w:sz w:val="31"/>
          <w:szCs w:val="31"/>
          <w:highlight w:val="none"/>
        </w:rPr>
      </w:pPr>
      <w:r>
        <w:rPr>
          <w:rFonts w:eastAsia="黑体"/>
          <w:sz w:val="31"/>
          <w:szCs w:val="31"/>
          <w:highlight w:val="none"/>
        </w:rPr>
        <w:t>湖南省</w:t>
      </w: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4"/>
          <w:highlight w:val="none"/>
        </w:rPr>
      </w:pPr>
      <w:r>
        <w:rPr>
          <w:rFonts w:eastAsia="黑体"/>
          <w:sz w:val="20"/>
          <w:highlight w:val="none"/>
        </w:rPr>
        <w:t xml:space="preserve">           </w:t>
      </w:r>
      <w:r>
        <w:rPr>
          <w:rFonts w:eastAsia="黑体"/>
          <w:sz w:val="24"/>
          <w:highlight w:val="none"/>
          <w:u w:val="single"/>
        </w:rPr>
        <w:t xml:space="preserve">                  </w:t>
      </w:r>
      <w:r>
        <w:rPr>
          <w:rFonts w:eastAsia="黑体"/>
          <w:sz w:val="24"/>
          <w:highlight w:val="none"/>
        </w:rPr>
        <w:t>（项目名称）</w:t>
      </w:r>
      <w:r>
        <w:rPr>
          <w:rFonts w:eastAsia="黑体"/>
          <w:sz w:val="24"/>
          <w:highlight w:val="none"/>
          <w:u w:val="single"/>
        </w:rPr>
        <w:t xml:space="preserve">          </w:t>
      </w:r>
      <w:r>
        <w:rPr>
          <w:rFonts w:eastAsia="黑体"/>
          <w:sz w:val="24"/>
          <w:highlight w:val="none"/>
        </w:rPr>
        <w:t>标段</w:t>
      </w:r>
      <w:r>
        <w:rPr>
          <w:rFonts w:hint="eastAsia" w:eastAsia="黑体"/>
          <w:sz w:val="24"/>
          <w:highlight w:val="none"/>
        </w:rPr>
        <w:t>服务</w:t>
      </w:r>
      <w:r>
        <w:rPr>
          <w:rFonts w:eastAsia="黑体"/>
          <w:sz w:val="24"/>
          <w:highlight w:val="none"/>
        </w:rPr>
        <w:t>招标</w:t>
      </w:r>
    </w:p>
    <w:p>
      <w:pPr>
        <w:spacing w:line="440" w:lineRule="atLeast"/>
        <w:rPr>
          <w:rFonts w:eastAsia="黑体"/>
          <w:sz w:val="20"/>
          <w:highlight w:val="none"/>
        </w:rPr>
      </w:pPr>
      <w:r>
        <w:rPr>
          <w:rFonts w:eastAsia="黑体"/>
          <w:sz w:val="20"/>
          <w:highlight w:val="none"/>
        </w:rPr>
        <w:t xml:space="preserve"> </w:t>
      </w:r>
    </w:p>
    <w:p>
      <w:pPr>
        <w:spacing w:line="440" w:lineRule="atLeast"/>
        <w:rPr>
          <w:rFonts w:eastAsia="黑体"/>
          <w:sz w:val="40"/>
          <w:szCs w:val="40"/>
          <w:highlight w:val="none"/>
        </w:rPr>
      </w:pPr>
    </w:p>
    <w:p>
      <w:pPr>
        <w:spacing w:line="440" w:lineRule="atLeast"/>
        <w:jc w:val="center"/>
        <w:rPr>
          <w:rFonts w:eastAsia="黑体"/>
          <w:sz w:val="40"/>
          <w:szCs w:val="40"/>
          <w:highlight w:val="none"/>
        </w:rPr>
      </w:pPr>
    </w:p>
    <w:p>
      <w:pPr>
        <w:spacing w:line="440" w:lineRule="atLeast"/>
        <w:jc w:val="center"/>
        <w:rPr>
          <w:rFonts w:eastAsia="黑体"/>
          <w:sz w:val="40"/>
          <w:szCs w:val="40"/>
          <w:highlight w:val="none"/>
        </w:rPr>
      </w:pPr>
    </w:p>
    <w:p>
      <w:pPr>
        <w:spacing w:line="440" w:lineRule="atLeast"/>
        <w:jc w:val="center"/>
        <w:rPr>
          <w:rFonts w:eastAsia="黑体"/>
          <w:sz w:val="40"/>
          <w:szCs w:val="40"/>
          <w:highlight w:val="none"/>
        </w:rPr>
      </w:pPr>
    </w:p>
    <w:p>
      <w:pPr>
        <w:spacing w:line="440" w:lineRule="atLeast"/>
        <w:jc w:val="center"/>
        <w:rPr>
          <w:rFonts w:eastAsia="黑体"/>
          <w:sz w:val="50"/>
          <w:szCs w:val="50"/>
          <w:highlight w:val="none"/>
        </w:rPr>
      </w:pPr>
      <w:bookmarkStart w:id="899" w:name="_Toc510015796"/>
      <w:bookmarkStart w:id="900" w:name="_Toc470781649"/>
      <w:bookmarkStart w:id="901" w:name="_Toc19679"/>
      <w:r>
        <w:rPr>
          <w:rFonts w:eastAsia="黑体"/>
          <w:sz w:val="50"/>
          <w:szCs w:val="50"/>
          <w:highlight w:val="none"/>
        </w:rPr>
        <w:t>投  标  文  件</w:t>
      </w:r>
      <w:bookmarkEnd w:id="899"/>
      <w:bookmarkEnd w:id="900"/>
      <w:bookmarkEnd w:id="901"/>
    </w:p>
    <w:p>
      <w:pPr>
        <w:spacing w:line="440" w:lineRule="atLeast"/>
        <w:jc w:val="center"/>
        <w:rPr>
          <w:rFonts w:eastAsia="黑体"/>
          <w:sz w:val="30"/>
          <w:szCs w:val="30"/>
          <w:highlight w:val="none"/>
        </w:rPr>
      </w:pPr>
    </w:p>
    <w:p>
      <w:pPr>
        <w:spacing w:line="440" w:lineRule="atLeast"/>
        <w:jc w:val="center"/>
        <w:rPr>
          <w:rFonts w:eastAsia="黑体"/>
          <w:sz w:val="36"/>
          <w:szCs w:val="36"/>
          <w:highlight w:val="none"/>
        </w:rPr>
      </w:pPr>
      <w:bookmarkStart w:id="902" w:name="_Toc510015797"/>
      <w:bookmarkStart w:id="903" w:name="_Toc467436478"/>
      <w:bookmarkStart w:id="904" w:name="_Toc32473"/>
      <w:bookmarkStart w:id="905" w:name="_Toc467436834"/>
      <w:r>
        <w:rPr>
          <w:rFonts w:eastAsia="黑体"/>
          <w:sz w:val="36"/>
          <w:szCs w:val="36"/>
          <w:highlight w:val="none"/>
        </w:rPr>
        <w:t>（商务及技术文件）</w:t>
      </w:r>
      <w:bookmarkEnd w:id="902"/>
      <w:bookmarkEnd w:id="903"/>
      <w:bookmarkEnd w:id="904"/>
      <w:bookmarkEnd w:id="905"/>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jc w:val="center"/>
        <w:rPr>
          <w:rFonts w:eastAsia="黑体"/>
          <w:sz w:val="28"/>
          <w:szCs w:val="28"/>
          <w:highlight w:val="none"/>
        </w:rPr>
      </w:pPr>
      <w:r>
        <w:rPr>
          <w:rFonts w:eastAsia="黑体"/>
          <w:sz w:val="28"/>
          <w:szCs w:val="28"/>
          <w:highlight w:val="none"/>
        </w:rPr>
        <w:t>投标人：</w:t>
      </w:r>
      <w:r>
        <w:rPr>
          <w:rFonts w:eastAsia="黑体"/>
          <w:sz w:val="28"/>
          <w:szCs w:val="28"/>
          <w:highlight w:val="none"/>
          <w:u w:val="single"/>
        </w:rPr>
        <w:t xml:space="preserve">                                  </w:t>
      </w:r>
      <w:r>
        <w:rPr>
          <w:rFonts w:eastAsia="黑体"/>
          <w:sz w:val="28"/>
          <w:szCs w:val="28"/>
          <w:highlight w:val="none"/>
        </w:rPr>
        <w:t>（盖单位章）</w:t>
      </w:r>
    </w:p>
    <w:p>
      <w:pPr>
        <w:spacing w:line="440" w:lineRule="atLeast"/>
        <w:rPr>
          <w:rFonts w:eastAsia="黑体"/>
          <w:sz w:val="28"/>
          <w:szCs w:val="28"/>
          <w:highlight w:val="none"/>
        </w:rPr>
      </w:pPr>
    </w:p>
    <w:p>
      <w:pPr>
        <w:spacing w:line="440" w:lineRule="atLeast"/>
        <w:jc w:val="center"/>
        <w:rPr>
          <w:rFonts w:eastAsia="黑体"/>
          <w:sz w:val="28"/>
          <w:szCs w:val="28"/>
          <w:highlight w:val="none"/>
        </w:rPr>
      </w:pPr>
      <w:r>
        <w:rPr>
          <w:rFonts w:eastAsia="黑体"/>
          <w:sz w:val="28"/>
          <w:szCs w:val="28"/>
          <w:highlight w:val="none"/>
          <w:u w:val="single"/>
        </w:rPr>
        <w:t xml:space="preserve">        </w:t>
      </w:r>
      <w:r>
        <w:rPr>
          <w:rFonts w:eastAsia="黑体"/>
          <w:sz w:val="28"/>
          <w:szCs w:val="28"/>
          <w:highlight w:val="none"/>
        </w:rPr>
        <w:t>年</w:t>
      </w:r>
      <w:r>
        <w:rPr>
          <w:rFonts w:eastAsia="黑体"/>
          <w:sz w:val="28"/>
          <w:szCs w:val="28"/>
          <w:highlight w:val="none"/>
          <w:u w:val="single"/>
        </w:rPr>
        <w:t xml:space="preserve">        </w:t>
      </w:r>
      <w:r>
        <w:rPr>
          <w:rFonts w:eastAsia="黑体"/>
          <w:sz w:val="28"/>
          <w:szCs w:val="28"/>
          <w:highlight w:val="none"/>
        </w:rPr>
        <w:t>月</w:t>
      </w:r>
      <w:r>
        <w:rPr>
          <w:rFonts w:eastAsia="黑体"/>
          <w:sz w:val="28"/>
          <w:szCs w:val="28"/>
          <w:highlight w:val="none"/>
          <w:u w:val="single"/>
        </w:rPr>
        <w:t xml:space="preserve">         </w:t>
      </w:r>
      <w:r>
        <w:rPr>
          <w:rFonts w:eastAsia="黑体"/>
          <w:sz w:val="28"/>
          <w:szCs w:val="28"/>
          <w:highlight w:val="none"/>
        </w:rPr>
        <w:t>日</w:t>
      </w:r>
    </w:p>
    <w:p>
      <w:pPr>
        <w:spacing w:before="468" w:beforeLines="150" w:after="312" w:afterLines="100" w:line="440" w:lineRule="atLeast"/>
        <w:jc w:val="center"/>
        <w:rPr>
          <w:rFonts w:eastAsia="黑体"/>
          <w:sz w:val="30"/>
          <w:szCs w:val="30"/>
          <w:highlight w:val="none"/>
        </w:rPr>
      </w:pPr>
      <w:bookmarkStart w:id="906" w:name="_Toc234833253"/>
      <w:bookmarkStart w:id="907" w:name="_Toc510015798"/>
      <w:r>
        <w:rPr>
          <w:rFonts w:eastAsia="黑体"/>
          <w:sz w:val="30"/>
          <w:szCs w:val="30"/>
          <w:highlight w:val="none"/>
        </w:rPr>
        <w:t xml:space="preserve"> </w:t>
      </w:r>
      <w:bookmarkEnd w:id="906"/>
      <w:bookmarkEnd w:id="907"/>
      <w:bookmarkStart w:id="908" w:name="_Toc16824"/>
      <w:bookmarkEnd w:id="908"/>
      <w:bookmarkStart w:id="909" w:name="_Toc352691660"/>
      <w:bookmarkEnd w:id="909"/>
      <w:bookmarkStart w:id="910" w:name="_Toc369531695"/>
      <w:bookmarkEnd w:id="910"/>
      <w:bookmarkStart w:id="911" w:name="_Toc352691659"/>
      <w:bookmarkEnd w:id="911"/>
      <w:bookmarkStart w:id="912" w:name="_Toc369531696"/>
      <w:bookmarkEnd w:id="912"/>
      <w:bookmarkStart w:id="913" w:name="_Toc16568"/>
      <w:bookmarkEnd w:id="913"/>
      <w:bookmarkStart w:id="914" w:name="_Toc26906"/>
      <w:r>
        <w:rPr>
          <w:rFonts w:eastAsia="黑体"/>
          <w:sz w:val="30"/>
          <w:szCs w:val="30"/>
          <w:highlight w:val="none"/>
        </w:rPr>
        <w:t>目     录</w:t>
      </w:r>
      <w:bookmarkEnd w:id="914"/>
    </w:p>
    <w:p>
      <w:pPr>
        <w:spacing w:line="440" w:lineRule="atLeast"/>
        <w:rPr>
          <w:rFonts w:eastAsia="黑体"/>
          <w:sz w:val="20"/>
          <w:highlight w:val="none"/>
        </w:rPr>
      </w:pPr>
    </w:p>
    <w:p>
      <w:pPr>
        <w:spacing w:line="440" w:lineRule="atLeast"/>
        <w:ind w:left="1619" w:leftChars="771" w:firstLine="1"/>
        <w:rPr>
          <w:sz w:val="24"/>
          <w:highlight w:val="none"/>
        </w:rPr>
      </w:pPr>
      <w:r>
        <w:rPr>
          <w:sz w:val="24"/>
          <w:highlight w:val="none"/>
        </w:rPr>
        <w:t>一、投标函</w:t>
      </w:r>
    </w:p>
    <w:p>
      <w:pPr>
        <w:spacing w:line="440" w:lineRule="atLeast"/>
        <w:ind w:left="1619" w:leftChars="771" w:firstLine="1"/>
        <w:rPr>
          <w:sz w:val="24"/>
          <w:highlight w:val="none"/>
        </w:rPr>
      </w:pPr>
      <w:r>
        <w:rPr>
          <w:sz w:val="24"/>
          <w:highlight w:val="none"/>
        </w:rPr>
        <w:t>二、授权委托书或法定代表人身份证明</w:t>
      </w:r>
    </w:p>
    <w:p>
      <w:pPr>
        <w:spacing w:line="440" w:lineRule="atLeast"/>
        <w:ind w:left="1619" w:leftChars="771" w:firstLine="1"/>
        <w:rPr>
          <w:sz w:val="24"/>
          <w:highlight w:val="none"/>
        </w:rPr>
      </w:pPr>
      <w:r>
        <w:rPr>
          <w:sz w:val="24"/>
          <w:highlight w:val="none"/>
        </w:rPr>
        <w:t>三、联合体协议书</w:t>
      </w:r>
    </w:p>
    <w:p>
      <w:pPr>
        <w:spacing w:line="440" w:lineRule="atLeast"/>
        <w:ind w:left="1619" w:leftChars="771" w:firstLine="1"/>
        <w:rPr>
          <w:sz w:val="24"/>
          <w:highlight w:val="none"/>
        </w:rPr>
      </w:pPr>
      <w:r>
        <w:rPr>
          <w:rFonts w:hint="eastAsia"/>
          <w:sz w:val="24"/>
          <w:highlight w:val="none"/>
        </w:rPr>
        <w:t>四</w:t>
      </w:r>
      <w:r>
        <w:rPr>
          <w:sz w:val="24"/>
          <w:highlight w:val="none"/>
        </w:rPr>
        <w:t>、投标保证金</w:t>
      </w:r>
    </w:p>
    <w:p>
      <w:pPr>
        <w:spacing w:line="440" w:lineRule="atLeast"/>
        <w:ind w:left="1619" w:leftChars="771" w:firstLine="1"/>
        <w:rPr>
          <w:sz w:val="24"/>
          <w:highlight w:val="none"/>
        </w:rPr>
      </w:pPr>
      <w:r>
        <w:rPr>
          <w:rFonts w:hint="eastAsia"/>
          <w:sz w:val="24"/>
          <w:highlight w:val="none"/>
        </w:rPr>
        <w:t>五</w:t>
      </w:r>
      <w:r>
        <w:rPr>
          <w:sz w:val="24"/>
          <w:highlight w:val="none"/>
        </w:rPr>
        <w:t>、</w:t>
      </w:r>
      <w:r>
        <w:rPr>
          <w:rFonts w:hint="eastAsia"/>
          <w:sz w:val="24"/>
          <w:highlight w:val="none"/>
        </w:rPr>
        <w:t>拟分包项目情况表</w:t>
      </w:r>
    </w:p>
    <w:p>
      <w:pPr>
        <w:spacing w:line="440" w:lineRule="atLeast"/>
        <w:ind w:left="1619" w:leftChars="771" w:firstLine="1"/>
        <w:rPr>
          <w:sz w:val="24"/>
          <w:highlight w:val="none"/>
        </w:rPr>
      </w:pPr>
      <w:r>
        <w:rPr>
          <w:rFonts w:hint="eastAsia"/>
          <w:sz w:val="24"/>
          <w:highlight w:val="none"/>
        </w:rPr>
        <w:t>六</w:t>
      </w:r>
      <w:r>
        <w:rPr>
          <w:sz w:val="24"/>
          <w:highlight w:val="none"/>
        </w:rPr>
        <w:t>、资格审查资料</w:t>
      </w:r>
    </w:p>
    <w:p>
      <w:pPr>
        <w:spacing w:line="440" w:lineRule="atLeast"/>
        <w:ind w:left="1619" w:leftChars="771" w:firstLine="1"/>
        <w:rPr>
          <w:sz w:val="24"/>
          <w:highlight w:val="none"/>
        </w:rPr>
      </w:pPr>
      <w:r>
        <w:rPr>
          <w:rFonts w:hint="eastAsia"/>
          <w:sz w:val="24"/>
          <w:highlight w:val="none"/>
        </w:rPr>
        <w:t>七</w:t>
      </w:r>
      <w:r>
        <w:rPr>
          <w:sz w:val="24"/>
          <w:highlight w:val="none"/>
        </w:rPr>
        <w:t>、技术建议书</w:t>
      </w:r>
    </w:p>
    <w:p>
      <w:pPr>
        <w:spacing w:line="440" w:lineRule="atLeast"/>
        <w:ind w:left="1619" w:leftChars="771" w:firstLine="1"/>
        <w:rPr>
          <w:sz w:val="24"/>
          <w:highlight w:val="none"/>
        </w:rPr>
      </w:pPr>
      <w:r>
        <w:rPr>
          <w:rFonts w:hint="eastAsia"/>
          <w:sz w:val="24"/>
          <w:highlight w:val="none"/>
        </w:rPr>
        <w:t>八</w:t>
      </w:r>
      <w:r>
        <w:rPr>
          <w:sz w:val="24"/>
          <w:highlight w:val="none"/>
        </w:rPr>
        <w:t>、其他资料</w:t>
      </w:r>
    </w:p>
    <w:p>
      <w:pPr>
        <w:spacing w:line="440" w:lineRule="atLeast"/>
        <w:ind w:left="1619" w:leftChars="771" w:firstLine="1"/>
        <w:rPr>
          <w:sz w:val="24"/>
          <w:highlight w:val="none"/>
        </w:rPr>
      </w:pPr>
    </w:p>
    <w:p>
      <w:pPr>
        <w:spacing w:line="440" w:lineRule="atLeast"/>
        <w:jc w:val="center"/>
        <w:rPr>
          <w:rFonts w:eastAsia="黑体"/>
          <w:sz w:val="30"/>
          <w:szCs w:val="30"/>
          <w:highlight w:val="none"/>
        </w:rPr>
      </w:pPr>
      <w:r>
        <w:rPr>
          <w:rFonts w:eastAsia="黑体"/>
          <w:sz w:val="30"/>
          <w:szCs w:val="30"/>
          <w:highlight w:val="none"/>
        </w:rPr>
        <w:br w:type="page"/>
      </w:r>
      <w:bookmarkStart w:id="915" w:name="_Toc14334"/>
      <w:r>
        <w:rPr>
          <w:rFonts w:eastAsia="黑体"/>
          <w:sz w:val="30"/>
          <w:szCs w:val="30"/>
          <w:highlight w:val="none"/>
        </w:rPr>
        <w:t>一、投标函</w:t>
      </w:r>
      <w:bookmarkEnd w:id="915"/>
    </w:p>
    <w:p>
      <w:pPr>
        <w:spacing w:before="312" w:beforeLines="100" w:after="156" w:afterLines="50" w:line="440" w:lineRule="atLeast"/>
        <w:rPr>
          <w:sz w:val="24"/>
          <w:highlight w:val="none"/>
        </w:rPr>
      </w:pPr>
      <w:r>
        <w:rPr>
          <w:sz w:val="24"/>
          <w:highlight w:val="none"/>
          <w:u w:val="single"/>
        </w:rPr>
        <w:t xml:space="preserve">                        </w:t>
      </w:r>
      <w:r>
        <w:rPr>
          <w:sz w:val="24"/>
          <w:highlight w:val="none"/>
        </w:rPr>
        <w:t>（招标人名称）：</w:t>
      </w:r>
    </w:p>
    <w:p>
      <w:pPr>
        <w:spacing w:line="440" w:lineRule="atLeast"/>
        <w:ind w:firstLine="480" w:firstLineChars="200"/>
        <w:rPr>
          <w:sz w:val="24"/>
          <w:highlight w:val="none"/>
        </w:rPr>
      </w:pPr>
      <w:r>
        <w:rPr>
          <w:sz w:val="24"/>
          <w:highlight w:val="none"/>
        </w:rPr>
        <w:t>1．我方已仔细研究</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w:t>
      </w:r>
      <w:r>
        <w:rPr>
          <w:rFonts w:hint="eastAsia"/>
          <w:sz w:val="24"/>
          <w:highlight w:val="none"/>
        </w:rPr>
        <w:t>服务</w:t>
      </w:r>
      <w:r>
        <w:rPr>
          <w:sz w:val="24"/>
          <w:highlight w:val="none"/>
        </w:rPr>
        <w:t>招标文件的全部内容（含补遗书第___号至第___号），在考察工程现场后，愿意以第二个信封（报价文件）中的投标总报价（或根据招标文件规定修正核实后确定的另一金额），按合同约定完成</w:t>
      </w:r>
      <w:r>
        <w:rPr>
          <w:rFonts w:hint="eastAsia"/>
          <w:sz w:val="24"/>
          <w:highlight w:val="none"/>
        </w:rPr>
        <w:t>服务</w:t>
      </w:r>
      <w:r>
        <w:rPr>
          <w:sz w:val="24"/>
          <w:highlight w:val="none"/>
        </w:rPr>
        <w:t>工作。</w:t>
      </w:r>
    </w:p>
    <w:p>
      <w:pPr>
        <w:spacing w:line="440" w:lineRule="atLeast"/>
        <w:ind w:firstLine="480" w:firstLineChars="200"/>
        <w:rPr>
          <w:sz w:val="24"/>
          <w:highlight w:val="none"/>
        </w:rPr>
      </w:pPr>
      <w:r>
        <w:rPr>
          <w:sz w:val="24"/>
          <w:highlight w:val="none"/>
        </w:rPr>
        <w:t>2．我方承诺在招标文件规定的投标有效期内不撤销投标文件。</w:t>
      </w:r>
    </w:p>
    <w:p>
      <w:pPr>
        <w:spacing w:line="440" w:lineRule="atLeast"/>
        <w:ind w:firstLine="480" w:firstLineChars="200"/>
        <w:rPr>
          <w:sz w:val="24"/>
          <w:highlight w:val="none"/>
        </w:rPr>
      </w:pPr>
      <w:r>
        <w:rPr>
          <w:sz w:val="24"/>
          <w:highlight w:val="none"/>
        </w:rPr>
        <w:t>3．项目负责人姓名：</w:t>
      </w:r>
      <w:r>
        <w:rPr>
          <w:sz w:val="24"/>
          <w:highlight w:val="none"/>
          <w:u w:val="single"/>
        </w:rPr>
        <w:t xml:space="preserve">          </w:t>
      </w:r>
      <w:r>
        <w:rPr>
          <w:sz w:val="24"/>
          <w:highlight w:val="none"/>
        </w:rPr>
        <w:t>，年龄：</w:t>
      </w:r>
      <w:r>
        <w:rPr>
          <w:sz w:val="24"/>
          <w:highlight w:val="none"/>
          <w:u w:val="single"/>
        </w:rPr>
        <w:t xml:space="preserve">         </w:t>
      </w:r>
      <w:r>
        <w:rPr>
          <w:sz w:val="24"/>
          <w:highlight w:val="none"/>
        </w:rPr>
        <w:t>，职称：</w:t>
      </w:r>
      <w:r>
        <w:rPr>
          <w:sz w:val="24"/>
          <w:highlight w:val="none"/>
          <w:u w:val="single"/>
        </w:rPr>
        <w:t xml:space="preserve">            </w:t>
      </w:r>
      <w:r>
        <w:rPr>
          <w:sz w:val="24"/>
          <w:highlight w:val="none"/>
        </w:rPr>
        <w:t>。</w:t>
      </w:r>
    </w:p>
    <w:p>
      <w:pPr>
        <w:spacing w:line="440" w:lineRule="atLeast"/>
        <w:ind w:firstLine="480" w:firstLineChars="200"/>
        <w:rPr>
          <w:sz w:val="24"/>
          <w:highlight w:val="none"/>
        </w:rPr>
      </w:pPr>
      <w:r>
        <w:rPr>
          <w:sz w:val="24"/>
          <w:highlight w:val="none"/>
        </w:rPr>
        <w:t>4. 质量要求：</w:t>
      </w:r>
      <w:r>
        <w:rPr>
          <w:sz w:val="24"/>
          <w:highlight w:val="none"/>
          <w:u w:val="single"/>
        </w:rPr>
        <w:t xml:space="preserve">           </w:t>
      </w:r>
      <w:r>
        <w:rPr>
          <w:sz w:val="24"/>
          <w:highlight w:val="none"/>
        </w:rPr>
        <w:t>，安全目标：</w:t>
      </w:r>
      <w:r>
        <w:rPr>
          <w:sz w:val="24"/>
          <w:highlight w:val="none"/>
          <w:u w:val="single"/>
        </w:rPr>
        <w:t xml:space="preserve">     </w:t>
      </w:r>
      <w:r>
        <w:rPr>
          <w:rFonts w:hint="eastAsia"/>
          <w:sz w:val="24"/>
          <w:highlight w:val="none"/>
          <w:u w:val="single"/>
        </w:rPr>
        <w:t>/</w:t>
      </w:r>
      <w:r>
        <w:rPr>
          <w:sz w:val="24"/>
          <w:highlight w:val="none"/>
          <w:u w:val="single"/>
        </w:rPr>
        <w:t xml:space="preserve">      </w:t>
      </w:r>
      <w:r>
        <w:rPr>
          <w:sz w:val="24"/>
          <w:highlight w:val="none"/>
        </w:rPr>
        <w:t>，环保目标：</w:t>
      </w:r>
      <w:r>
        <w:rPr>
          <w:sz w:val="24"/>
          <w:highlight w:val="none"/>
          <w:u w:val="single"/>
        </w:rPr>
        <w:t xml:space="preserve">  </w:t>
      </w:r>
      <w:r>
        <w:rPr>
          <w:rFonts w:hint="eastAsia"/>
          <w:sz w:val="24"/>
          <w:highlight w:val="none"/>
          <w:u w:val="single"/>
        </w:rPr>
        <w:t>/</w:t>
      </w:r>
      <w:r>
        <w:rPr>
          <w:sz w:val="24"/>
          <w:highlight w:val="none"/>
          <w:u w:val="single"/>
        </w:rPr>
        <w:t xml:space="preserve">       </w:t>
      </w:r>
      <w:r>
        <w:rPr>
          <w:sz w:val="24"/>
          <w:highlight w:val="none"/>
        </w:rPr>
        <w:t>。</w:t>
      </w:r>
      <w:r>
        <w:rPr>
          <w:rFonts w:hint="eastAsia"/>
          <w:sz w:val="24"/>
          <w:highlight w:val="none"/>
        </w:rPr>
        <w:t>服务</w:t>
      </w:r>
      <w:r>
        <w:rPr>
          <w:sz w:val="24"/>
          <w:highlight w:val="none"/>
        </w:rPr>
        <w:t>期限：</w:t>
      </w:r>
      <w:r>
        <w:rPr>
          <w:sz w:val="24"/>
          <w:highlight w:val="none"/>
          <w:u w:val="single"/>
        </w:rPr>
        <w:t xml:space="preserve">       </w:t>
      </w:r>
      <w:r>
        <w:rPr>
          <w:sz w:val="24"/>
          <w:highlight w:val="none"/>
        </w:rPr>
        <w:t>。</w:t>
      </w:r>
    </w:p>
    <w:p>
      <w:pPr>
        <w:spacing w:line="440" w:lineRule="atLeast"/>
        <w:ind w:firstLine="480" w:firstLineChars="200"/>
        <w:rPr>
          <w:sz w:val="24"/>
          <w:highlight w:val="none"/>
        </w:rPr>
      </w:pPr>
      <w:r>
        <w:rPr>
          <w:sz w:val="24"/>
          <w:highlight w:val="none"/>
        </w:rPr>
        <w:t>5. 如我方中标，我方承诺：</w:t>
      </w:r>
    </w:p>
    <w:p>
      <w:pPr>
        <w:spacing w:line="440" w:lineRule="atLeast"/>
        <w:ind w:firstLine="480" w:firstLineChars="200"/>
        <w:rPr>
          <w:sz w:val="24"/>
          <w:highlight w:val="none"/>
        </w:rPr>
      </w:pPr>
      <w:r>
        <w:rPr>
          <w:sz w:val="24"/>
          <w:highlight w:val="none"/>
        </w:rPr>
        <w:t>（1）在收到中标通知书后，在中标通知书规定的期限内与你方签订合同；</w:t>
      </w:r>
    </w:p>
    <w:p>
      <w:pPr>
        <w:spacing w:line="440" w:lineRule="atLeast"/>
        <w:ind w:firstLine="480" w:firstLineChars="200"/>
        <w:rPr>
          <w:sz w:val="24"/>
          <w:highlight w:val="none"/>
        </w:rPr>
      </w:pPr>
      <w:r>
        <w:rPr>
          <w:sz w:val="24"/>
          <w:highlight w:val="none"/>
        </w:rPr>
        <w:t>（2）在签订合同时不向你方提出附加条件；</w:t>
      </w:r>
    </w:p>
    <w:p>
      <w:pPr>
        <w:spacing w:line="440" w:lineRule="atLeast"/>
        <w:ind w:firstLine="480" w:firstLineChars="200"/>
        <w:rPr>
          <w:sz w:val="24"/>
          <w:highlight w:val="none"/>
        </w:rPr>
      </w:pPr>
      <w:r>
        <w:rPr>
          <w:sz w:val="24"/>
          <w:highlight w:val="none"/>
        </w:rPr>
        <w:t>（3）按照招标文件要求提交履约保证金；</w:t>
      </w:r>
    </w:p>
    <w:p>
      <w:pPr>
        <w:spacing w:line="440" w:lineRule="atLeast"/>
        <w:ind w:firstLine="480" w:firstLineChars="200"/>
        <w:rPr>
          <w:sz w:val="24"/>
          <w:highlight w:val="none"/>
        </w:rPr>
      </w:pPr>
      <w:r>
        <w:rPr>
          <w:sz w:val="24"/>
          <w:highlight w:val="none"/>
        </w:rPr>
        <w:t>（4）在合同约定的期限内完成合同规定的全部义务；</w:t>
      </w:r>
    </w:p>
    <w:p>
      <w:pPr>
        <w:spacing w:line="440" w:lineRule="atLeast"/>
        <w:ind w:firstLine="480" w:firstLineChars="200"/>
        <w:rPr>
          <w:sz w:val="24"/>
          <w:highlight w:val="none"/>
          <w:vertAlign w:val="superscript"/>
        </w:rPr>
      </w:pPr>
      <w:r>
        <w:rPr>
          <w:sz w:val="24"/>
          <w:highlight w:val="none"/>
        </w:rPr>
        <w:t>（5）在你方和我方进行合同谈判之前，我方将按照合同附件提出的最低要求填报派驻本标段的其他主要</w:t>
      </w:r>
      <w:r>
        <w:rPr>
          <w:rFonts w:hint="eastAsia"/>
          <w:sz w:val="24"/>
          <w:highlight w:val="none"/>
        </w:rPr>
        <w:t>服务</w:t>
      </w:r>
      <w:r>
        <w:rPr>
          <w:sz w:val="24"/>
          <w:highlight w:val="none"/>
        </w:rPr>
        <w:t>人员，经你方审批后作为派驻本标段的主要</w:t>
      </w:r>
      <w:r>
        <w:rPr>
          <w:rFonts w:hint="eastAsia"/>
          <w:sz w:val="24"/>
          <w:highlight w:val="none"/>
        </w:rPr>
        <w:t>服务</w:t>
      </w:r>
      <w:r>
        <w:rPr>
          <w:sz w:val="24"/>
          <w:highlight w:val="none"/>
        </w:rPr>
        <w:t>人员且不进行更换。如我方拟派驻的人员不满足合同附件要求，你方有权取消我方中标资格。</w:t>
      </w:r>
      <w:r>
        <w:rPr>
          <w:sz w:val="24"/>
          <w:highlight w:val="none"/>
          <w:vertAlign w:val="superscript"/>
        </w:rPr>
        <w:footnoteReference w:id="15"/>
      </w:r>
    </w:p>
    <w:p>
      <w:pPr>
        <w:spacing w:line="440" w:lineRule="atLeast"/>
        <w:ind w:firstLine="480" w:firstLineChars="200"/>
        <w:rPr>
          <w:sz w:val="24"/>
          <w:highlight w:val="none"/>
        </w:rPr>
      </w:pPr>
      <w:r>
        <w:rPr>
          <w:sz w:val="24"/>
          <w:highlight w:val="none"/>
        </w:rPr>
        <w:t>6．我方在此声明，所递交的投标文件及有关资料内容完整、真实和准确，且不存在招标文件第二章“投标人须知”第1.4.3项和第1.4.4项规定的任何一种情形。</w:t>
      </w:r>
    </w:p>
    <w:p>
      <w:pPr>
        <w:spacing w:line="440" w:lineRule="atLeast"/>
        <w:ind w:firstLine="480" w:firstLineChars="200"/>
        <w:rPr>
          <w:sz w:val="24"/>
          <w:highlight w:val="none"/>
        </w:rPr>
      </w:pPr>
      <w:r>
        <w:rPr>
          <w:sz w:val="24"/>
          <w:highlight w:val="none"/>
        </w:rPr>
        <w:t>7．在合同协议书正式签署生效之前，本投标函连同你方的中标通知书将构成我们双方之间共同遵守的文件，对双方具有约束力。</w:t>
      </w:r>
    </w:p>
    <w:p>
      <w:pPr>
        <w:spacing w:line="360" w:lineRule="atLeast"/>
        <w:ind w:firstLine="480" w:firstLineChars="200"/>
        <w:rPr>
          <w:rFonts w:eastAsia="黑体"/>
          <w:sz w:val="24"/>
          <w:highlight w:val="none"/>
        </w:rPr>
      </w:pPr>
      <w:r>
        <w:rPr>
          <w:rFonts w:ascii="黑体" w:hAnsi="黑体" w:eastAsia="黑体"/>
          <w:sz w:val="24"/>
          <w:highlight w:val="none"/>
        </w:rPr>
        <w:t>8</w:t>
      </w:r>
      <w:r>
        <w:rPr>
          <w:rFonts w:hint="eastAsia" w:ascii="黑体" w:hAnsi="黑体" w:eastAsia="黑体"/>
          <w:sz w:val="24"/>
          <w:highlight w:val="none"/>
        </w:rPr>
        <w:t>．</w:t>
      </w:r>
      <w:r>
        <w:rPr>
          <w:rFonts w:hint="eastAsia" w:eastAsia="黑体"/>
          <w:sz w:val="24"/>
          <w:highlight w:val="none"/>
        </w:rPr>
        <w:t>我方将按投标文件中填报的项目负责人进场并履行合同。如有变更（不可抗力除外），委托人可按照招标文件规定取消我方的中标资格，</w:t>
      </w:r>
      <w:r>
        <w:rPr>
          <w:rFonts w:eastAsia="黑体"/>
          <w:sz w:val="24"/>
          <w:highlight w:val="none"/>
        </w:rPr>
        <w:t>解除合同并要求我方支付合同总价款10%的违约金，</w:t>
      </w:r>
      <w:r>
        <w:rPr>
          <w:rFonts w:hint="eastAsia" w:eastAsia="黑体"/>
          <w:sz w:val="24"/>
          <w:highlight w:val="none"/>
        </w:rPr>
        <w:t>我方自愿接受湖南省交通运输厅给予的任何行政处罚。</w:t>
      </w:r>
    </w:p>
    <w:p>
      <w:pPr>
        <w:spacing w:line="360" w:lineRule="atLeast"/>
        <w:ind w:firstLine="480" w:firstLineChars="200"/>
        <w:rPr>
          <w:rFonts w:eastAsia="黑体"/>
          <w:sz w:val="24"/>
          <w:highlight w:val="none"/>
        </w:rPr>
      </w:pPr>
      <w:r>
        <w:rPr>
          <w:rFonts w:hint="eastAsia" w:eastAsia="黑体"/>
          <w:sz w:val="24"/>
          <w:highlight w:val="none"/>
        </w:rPr>
        <w:t>我方承诺在项目实施过程中，不变更项目负责人，如有变更（不可抗力除外），委托人可解除合同并按照招标文件规定向我方课以违约金，我方自愿接受湖南省交通运输厅给予的任何行政处罚。</w:t>
      </w:r>
    </w:p>
    <w:p>
      <w:pPr>
        <w:spacing w:line="400" w:lineRule="atLeast"/>
        <w:ind w:firstLine="480" w:firstLineChars="200"/>
        <w:rPr>
          <w:sz w:val="24"/>
          <w:highlight w:val="none"/>
        </w:rPr>
      </w:pPr>
      <w:r>
        <w:rPr>
          <w:sz w:val="24"/>
          <w:highlight w:val="none"/>
        </w:rPr>
        <w:t>9．</w:t>
      </w:r>
      <w:r>
        <w:rPr>
          <w:sz w:val="24"/>
          <w:highlight w:val="none"/>
          <w:u w:val="single"/>
        </w:rPr>
        <w:t xml:space="preserve">                                       </w:t>
      </w:r>
      <w:r>
        <w:rPr>
          <w:sz w:val="24"/>
          <w:highlight w:val="none"/>
        </w:rPr>
        <w:t>（其他补充说明）。</w:t>
      </w:r>
    </w:p>
    <w:p>
      <w:pPr>
        <w:spacing w:line="440" w:lineRule="atLeast"/>
        <w:ind w:firstLine="480" w:firstLineChars="200"/>
        <w:rPr>
          <w:sz w:val="24"/>
          <w:highlight w:val="none"/>
        </w:rPr>
      </w:pPr>
    </w:p>
    <w:p>
      <w:pPr>
        <w:spacing w:line="440" w:lineRule="atLeast"/>
        <w:ind w:firstLine="3420" w:firstLineChars="1425"/>
        <w:rPr>
          <w:sz w:val="24"/>
          <w:highlight w:val="none"/>
        </w:rPr>
      </w:pPr>
      <w:r>
        <w:rPr>
          <w:sz w:val="24"/>
          <w:highlight w:val="none"/>
        </w:rPr>
        <w:t>投 标 人：</w:t>
      </w:r>
      <w:r>
        <w:rPr>
          <w:sz w:val="24"/>
          <w:highlight w:val="none"/>
          <w:u w:val="single"/>
        </w:rPr>
        <w:t xml:space="preserve">                    </w:t>
      </w:r>
      <w:r>
        <w:rPr>
          <w:sz w:val="24"/>
          <w:highlight w:val="none"/>
        </w:rPr>
        <w:t>（盖单位章）</w:t>
      </w:r>
      <w:r>
        <w:rPr>
          <w:sz w:val="24"/>
          <w:highlight w:val="none"/>
          <w:vertAlign w:val="superscript"/>
        </w:rPr>
        <w:footnoteReference w:id="16"/>
      </w:r>
    </w:p>
    <w:p>
      <w:pPr>
        <w:spacing w:line="440" w:lineRule="atLeast"/>
        <w:ind w:firstLine="3420" w:firstLineChars="1425"/>
        <w:rPr>
          <w:sz w:val="24"/>
          <w:highlight w:val="none"/>
        </w:rPr>
      </w:pPr>
      <w:r>
        <w:rPr>
          <w:sz w:val="24"/>
          <w:highlight w:val="none"/>
        </w:rPr>
        <w:t>法定代表人或其委托代理人：</w:t>
      </w:r>
      <w:r>
        <w:rPr>
          <w:sz w:val="24"/>
          <w:highlight w:val="none"/>
          <w:u w:val="single"/>
        </w:rPr>
        <w:t xml:space="preserve">           </w:t>
      </w:r>
      <w:r>
        <w:rPr>
          <w:sz w:val="24"/>
          <w:highlight w:val="none"/>
        </w:rPr>
        <w:t>（签字）</w:t>
      </w:r>
    </w:p>
    <w:p>
      <w:pPr>
        <w:spacing w:line="440" w:lineRule="atLeast"/>
        <w:ind w:firstLine="3420" w:firstLineChars="1425"/>
        <w:rPr>
          <w:sz w:val="24"/>
          <w:highlight w:val="none"/>
        </w:rPr>
      </w:pPr>
      <w:r>
        <w:rPr>
          <w:sz w:val="24"/>
          <w:highlight w:val="none"/>
        </w:rPr>
        <w:t>地    址：</w:t>
      </w:r>
      <w:r>
        <w:rPr>
          <w:sz w:val="24"/>
          <w:highlight w:val="none"/>
          <w:u w:val="single"/>
        </w:rPr>
        <w:t xml:space="preserve">                                     </w:t>
      </w:r>
      <w:r>
        <w:rPr>
          <w:sz w:val="24"/>
          <w:highlight w:val="none"/>
        </w:rPr>
        <w:t xml:space="preserve"> </w:t>
      </w:r>
    </w:p>
    <w:p>
      <w:pPr>
        <w:spacing w:line="440" w:lineRule="atLeast"/>
        <w:ind w:firstLine="3420" w:firstLineChars="1425"/>
        <w:rPr>
          <w:sz w:val="24"/>
          <w:highlight w:val="none"/>
        </w:rPr>
      </w:pPr>
      <w:r>
        <w:rPr>
          <w:sz w:val="24"/>
          <w:highlight w:val="none"/>
        </w:rPr>
        <w:t>网    址：</w:t>
      </w:r>
      <w:r>
        <w:rPr>
          <w:sz w:val="24"/>
          <w:highlight w:val="none"/>
          <w:u w:val="single"/>
        </w:rPr>
        <w:t xml:space="preserve">                                     </w:t>
      </w:r>
    </w:p>
    <w:p>
      <w:pPr>
        <w:spacing w:line="440" w:lineRule="atLeast"/>
        <w:ind w:firstLine="3420" w:firstLineChars="1425"/>
        <w:rPr>
          <w:sz w:val="24"/>
          <w:highlight w:val="none"/>
        </w:rPr>
      </w:pPr>
      <w:r>
        <w:rPr>
          <w:sz w:val="24"/>
          <w:highlight w:val="none"/>
        </w:rPr>
        <w:t>电    话：</w:t>
      </w:r>
      <w:r>
        <w:rPr>
          <w:sz w:val="24"/>
          <w:highlight w:val="none"/>
          <w:u w:val="single"/>
        </w:rPr>
        <w:t xml:space="preserve">                                     </w:t>
      </w:r>
      <w:r>
        <w:rPr>
          <w:sz w:val="24"/>
          <w:highlight w:val="none"/>
        </w:rPr>
        <w:t xml:space="preserve"> </w:t>
      </w:r>
    </w:p>
    <w:p>
      <w:pPr>
        <w:spacing w:line="440" w:lineRule="atLeast"/>
        <w:ind w:firstLine="3420" w:firstLineChars="1425"/>
        <w:rPr>
          <w:sz w:val="24"/>
          <w:highlight w:val="none"/>
        </w:rPr>
      </w:pPr>
      <w:r>
        <w:rPr>
          <w:sz w:val="24"/>
          <w:highlight w:val="none"/>
        </w:rPr>
        <w:t>传    真：</w:t>
      </w:r>
      <w:r>
        <w:rPr>
          <w:sz w:val="24"/>
          <w:highlight w:val="none"/>
          <w:u w:val="single"/>
        </w:rPr>
        <w:t xml:space="preserve">                                     </w:t>
      </w:r>
      <w:r>
        <w:rPr>
          <w:sz w:val="24"/>
          <w:highlight w:val="none"/>
        </w:rPr>
        <w:t xml:space="preserve"> </w:t>
      </w:r>
    </w:p>
    <w:p>
      <w:pPr>
        <w:spacing w:line="440" w:lineRule="atLeast"/>
        <w:ind w:firstLine="3420" w:firstLineChars="1425"/>
        <w:rPr>
          <w:sz w:val="24"/>
          <w:highlight w:val="none"/>
        </w:rPr>
      </w:pPr>
      <w:r>
        <w:rPr>
          <w:sz w:val="24"/>
          <w:highlight w:val="none"/>
        </w:rPr>
        <w:t>邮政编码：</w:t>
      </w:r>
      <w:r>
        <w:rPr>
          <w:sz w:val="24"/>
          <w:highlight w:val="none"/>
          <w:u w:val="single"/>
        </w:rPr>
        <w:t xml:space="preserve">                                  </w:t>
      </w:r>
    </w:p>
    <w:p>
      <w:pPr>
        <w:spacing w:line="440" w:lineRule="atLeast"/>
        <w:ind w:firstLine="3420" w:firstLineChars="1425"/>
        <w:rPr>
          <w:sz w:val="24"/>
          <w:highlight w:val="none"/>
        </w:rPr>
      </w:pPr>
    </w:p>
    <w:p>
      <w:pPr>
        <w:spacing w:line="440" w:lineRule="atLeast"/>
        <w:ind w:firstLine="4740" w:firstLineChars="1975"/>
        <w:rPr>
          <w:sz w:val="24"/>
          <w:highlight w:val="none"/>
        </w:rPr>
      </w:pP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spacing w:before="468" w:beforeLines="150" w:after="312" w:afterLines="100" w:line="440" w:lineRule="atLeast"/>
        <w:jc w:val="center"/>
        <w:rPr>
          <w:rFonts w:eastAsia="黑体"/>
          <w:sz w:val="30"/>
          <w:szCs w:val="30"/>
          <w:highlight w:val="none"/>
        </w:rPr>
      </w:pPr>
      <w:r>
        <w:rPr>
          <w:rFonts w:eastAsia="黑体"/>
          <w:sz w:val="28"/>
          <w:szCs w:val="28"/>
          <w:highlight w:val="none"/>
        </w:rPr>
        <w:br w:type="page"/>
      </w:r>
      <w:bookmarkStart w:id="916" w:name="_Toc14284"/>
      <w:r>
        <w:rPr>
          <w:rFonts w:eastAsia="黑体"/>
          <w:sz w:val="30"/>
          <w:szCs w:val="30"/>
          <w:highlight w:val="none"/>
        </w:rPr>
        <w:t>二、授权委托书或法定代表人身份证明</w:t>
      </w:r>
      <w:bookmarkEnd w:id="916"/>
    </w:p>
    <w:p>
      <w:pPr>
        <w:spacing w:before="468" w:beforeLines="150" w:after="312" w:afterLines="100" w:line="440" w:lineRule="atLeast"/>
        <w:jc w:val="center"/>
        <w:rPr>
          <w:rFonts w:eastAsia="黑体"/>
          <w:sz w:val="28"/>
          <w:szCs w:val="28"/>
          <w:highlight w:val="none"/>
        </w:rPr>
      </w:pPr>
      <w:bookmarkStart w:id="917" w:name="_Toc29342"/>
      <w:r>
        <w:rPr>
          <w:rFonts w:eastAsia="黑体"/>
          <w:sz w:val="28"/>
          <w:szCs w:val="28"/>
          <w:highlight w:val="none"/>
        </w:rPr>
        <w:t>（一）授权委托书</w:t>
      </w:r>
      <w:r>
        <w:rPr>
          <w:rStyle w:val="48"/>
          <w:rFonts w:eastAsia="黑体"/>
          <w:sz w:val="28"/>
          <w:szCs w:val="28"/>
          <w:highlight w:val="none"/>
        </w:rPr>
        <w:footnoteReference w:id="17"/>
      </w:r>
      <w:bookmarkEnd w:id="917"/>
    </w:p>
    <w:p>
      <w:pPr>
        <w:spacing w:line="440" w:lineRule="atLeast"/>
        <w:rPr>
          <w:rFonts w:eastAsia="黑体"/>
          <w:sz w:val="24"/>
          <w:highlight w:val="none"/>
        </w:rPr>
      </w:pPr>
    </w:p>
    <w:p>
      <w:pPr>
        <w:topLinePunct/>
        <w:spacing w:line="440" w:lineRule="atLeast"/>
        <w:ind w:firstLine="480" w:firstLineChars="200"/>
        <w:rPr>
          <w:sz w:val="24"/>
          <w:highlight w:val="none"/>
        </w:rPr>
      </w:pPr>
      <w:r>
        <w:rPr>
          <w:sz w:val="24"/>
          <w:highlight w:val="none"/>
        </w:rPr>
        <w:t>本人</w:t>
      </w:r>
      <w:r>
        <w:rPr>
          <w:sz w:val="24"/>
          <w:highlight w:val="none"/>
          <w:u w:val="single"/>
        </w:rPr>
        <w:t xml:space="preserve">      </w:t>
      </w:r>
      <w:r>
        <w:rPr>
          <w:sz w:val="24"/>
          <w:highlight w:val="none"/>
        </w:rPr>
        <w:t>（姓名）系</w:t>
      </w:r>
      <w:r>
        <w:rPr>
          <w:sz w:val="24"/>
          <w:highlight w:val="none"/>
          <w:u w:val="single"/>
        </w:rPr>
        <w:t xml:space="preserve">      </w:t>
      </w:r>
      <w:r>
        <w:rPr>
          <w:sz w:val="24"/>
          <w:highlight w:val="none"/>
        </w:rPr>
        <w:t>（投标人名称）的法定代表人，现委托</w:t>
      </w:r>
      <w:r>
        <w:rPr>
          <w:sz w:val="24"/>
          <w:highlight w:val="none"/>
          <w:u w:val="single"/>
        </w:rPr>
        <w:t xml:space="preserve">        </w:t>
      </w:r>
      <w:r>
        <w:rPr>
          <w:sz w:val="24"/>
          <w:highlight w:val="none"/>
        </w:rPr>
        <w:t>（姓名）为我方代理人。代理人根据授权，以我方名义签署、澄清确认、递交、撤回、修改</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w:t>
      </w:r>
      <w:r>
        <w:rPr>
          <w:rFonts w:hint="eastAsia"/>
          <w:sz w:val="24"/>
          <w:highlight w:val="none"/>
        </w:rPr>
        <w:t>服务</w:t>
      </w:r>
      <w:r>
        <w:rPr>
          <w:sz w:val="24"/>
          <w:highlight w:val="none"/>
        </w:rPr>
        <w:t>投标文件、签订合同和处理有关事宜，其法律后果由我方承担。</w:t>
      </w:r>
    </w:p>
    <w:p>
      <w:pPr>
        <w:spacing w:line="440" w:lineRule="atLeast"/>
        <w:rPr>
          <w:sz w:val="24"/>
          <w:highlight w:val="none"/>
        </w:rPr>
      </w:pPr>
      <w:r>
        <w:rPr>
          <w:sz w:val="24"/>
          <w:highlight w:val="none"/>
        </w:rPr>
        <w:t xml:space="preserve">    委托期限：自本委托书签署之日起至投标有效期期满。</w:t>
      </w:r>
    </w:p>
    <w:p>
      <w:pPr>
        <w:spacing w:line="440" w:lineRule="atLeast"/>
        <w:ind w:firstLine="480" w:firstLineChars="200"/>
        <w:rPr>
          <w:sz w:val="24"/>
          <w:highlight w:val="none"/>
        </w:rPr>
      </w:pPr>
      <w:r>
        <w:rPr>
          <w:sz w:val="24"/>
          <w:highlight w:val="none"/>
        </w:rPr>
        <w:t>代理人无转委托权。</w:t>
      </w:r>
    </w:p>
    <w:p>
      <w:pPr>
        <w:spacing w:line="440" w:lineRule="atLeast"/>
        <w:rPr>
          <w:sz w:val="24"/>
          <w:highlight w:val="none"/>
        </w:rPr>
      </w:pPr>
    </w:p>
    <w:p>
      <w:pPr>
        <w:spacing w:line="440" w:lineRule="atLeast"/>
        <w:rPr>
          <w:highlight w:val="none"/>
        </w:rPr>
      </w:pPr>
      <w:r>
        <w:rPr>
          <w:highlight w:val="none"/>
        </w:rPr>
        <w:t>附：法定代表人身份证复印件及委托代理人身份证复印件。</w:t>
      </w:r>
    </w:p>
    <w:p>
      <w:pPr>
        <w:spacing w:line="440" w:lineRule="atLeast"/>
        <w:rPr>
          <w:sz w:val="24"/>
          <w:highlight w:val="none"/>
        </w:rPr>
      </w:pPr>
    </w:p>
    <w:p>
      <w:pPr>
        <w:topLinePunct/>
        <w:spacing w:line="400" w:lineRule="atLeast"/>
        <w:ind w:firstLine="3290" w:firstLineChars="1371"/>
        <w:rPr>
          <w:sz w:val="24"/>
          <w:highlight w:val="none"/>
        </w:rPr>
      </w:pPr>
      <w:r>
        <w:rPr>
          <w:sz w:val="24"/>
          <w:highlight w:val="none"/>
        </w:rPr>
        <w:t>投标人：</w:t>
      </w:r>
      <w:r>
        <w:rPr>
          <w:sz w:val="24"/>
          <w:highlight w:val="none"/>
          <w:u w:val="single"/>
        </w:rPr>
        <w:t xml:space="preserve">                      </w:t>
      </w:r>
      <w:r>
        <w:rPr>
          <w:sz w:val="24"/>
          <w:highlight w:val="none"/>
        </w:rPr>
        <w:t>（盖单位章）</w:t>
      </w:r>
    </w:p>
    <w:p>
      <w:pPr>
        <w:topLinePunct/>
        <w:spacing w:line="400" w:lineRule="atLeast"/>
        <w:ind w:firstLine="3290" w:firstLineChars="1371"/>
        <w:rPr>
          <w:sz w:val="24"/>
          <w:highlight w:val="none"/>
        </w:rPr>
      </w:pPr>
    </w:p>
    <w:p>
      <w:pPr>
        <w:topLinePunct/>
        <w:spacing w:line="400" w:lineRule="atLeast"/>
        <w:ind w:firstLine="3290" w:firstLineChars="1371"/>
        <w:rPr>
          <w:sz w:val="24"/>
          <w:highlight w:val="none"/>
        </w:rPr>
      </w:pPr>
      <w:r>
        <w:rPr>
          <w:sz w:val="24"/>
          <w:highlight w:val="none"/>
        </w:rPr>
        <w:t>法定代表人：</w:t>
      </w:r>
      <w:r>
        <w:rPr>
          <w:sz w:val="24"/>
          <w:highlight w:val="none"/>
          <w:u w:val="single"/>
        </w:rPr>
        <w:t xml:space="preserve">                       </w:t>
      </w:r>
      <w:r>
        <w:rPr>
          <w:sz w:val="24"/>
          <w:highlight w:val="none"/>
        </w:rPr>
        <w:t>（签字）</w:t>
      </w:r>
    </w:p>
    <w:p>
      <w:pPr>
        <w:topLinePunct/>
        <w:spacing w:line="400" w:lineRule="atLeast"/>
        <w:ind w:firstLine="3290" w:firstLineChars="1371"/>
        <w:rPr>
          <w:sz w:val="24"/>
          <w:highlight w:val="none"/>
        </w:rPr>
      </w:pPr>
    </w:p>
    <w:p>
      <w:pPr>
        <w:topLinePunct/>
        <w:spacing w:line="400" w:lineRule="atLeast"/>
        <w:ind w:firstLine="3290" w:firstLineChars="1371"/>
        <w:rPr>
          <w:sz w:val="24"/>
          <w:highlight w:val="none"/>
          <w:u w:val="single"/>
        </w:rPr>
      </w:pPr>
      <w:r>
        <w:rPr>
          <w:sz w:val="24"/>
          <w:highlight w:val="none"/>
        </w:rPr>
        <w:t>身份证号码：</w:t>
      </w:r>
      <w:r>
        <w:rPr>
          <w:sz w:val="24"/>
          <w:highlight w:val="none"/>
          <w:u w:val="single"/>
        </w:rPr>
        <w:t xml:space="preserve">                            </w:t>
      </w:r>
    </w:p>
    <w:p>
      <w:pPr>
        <w:topLinePunct/>
        <w:spacing w:line="400" w:lineRule="atLeast"/>
        <w:ind w:firstLine="3290" w:firstLineChars="1371"/>
        <w:rPr>
          <w:sz w:val="24"/>
          <w:highlight w:val="none"/>
        </w:rPr>
      </w:pPr>
    </w:p>
    <w:p>
      <w:pPr>
        <w:topLinePunct/>
        <w:spacing w:line="400" w:lineRule="atLeast"/>
        <w:ind w:firstLine="3290" w:firstLineChars="1371"/>
        <w:rPr>
          <w:sz w:val="24"/>
          <w:highlight w:val="none"/>
        </w:rPr>
      </w:pPr>
      <w:r>
        <w:rPr>
          <w:sz w:val="24"/>
          <w:highlight w:val="none"/>
        </w:rPr>
        <w:t>委托代理人：</w:t>
      </w:r>
      <w:r>
        <w:rPr>
          <w:sz w:val="24"/>
          <w:highlight w:val="none"/>
          <w:u w:val="single"/>
        </w:rPr>
        <w:t xml:space="preserve">                        </w:t>
      </w:r>
      <w:r>
        <w:rPr>
          <w:sz w:val="24"/>
          <w:highlight w:val="none"/>
        </w:rPr>
        <w:t xml:space="preserve">（签字）   </w:t>
      </w:r>
    </w:p>
    <w:p>
      <w:pPr>
        <w:topLinePunct/>
        <w:spacing w:line="400" w:lineRule="atLeast"/>
        <w:ind w:left="2699" w:firstLine="3290" w:firstLineChars="1371"/>
        <w:rPr>
          <w:sz w:val="24"/>
          <w:highlight w:val="none"/>
        </w:rPr>
      </w:pPr>
      <w:r>
        <w:rPr>
          <w:sz w:val="24"/>
          <w:highlight w:val="none"/>
        </w:rPr>
        <w:t xml:space="preserve">    </w:t>
      </w:r>
    </w:p>
    <w:p>
      <w:pPr>
        <w:topLinePunct/>
        <w:spacing w:line="400" w:lineRule="atLeast"/>
        <w:ind w:firstLine="3290" w:firstLineChars="1371"/>
        <w:rPr>
          <w:sz w:val="24"/>
          <w:highlight w:val="none"/>
          <w:u w:val="single"/>
        </w:rPr>
      </w:pPr>
      <w:r>
        <w:rPr>
          <w:sz w:val="24"/>
          <w:highlight w:val="none"/>
        </w:rPr>
        <w:t>身份证号码：</w:t>
      </w:r>
      <w:r>
        <w:rPr>
          <w:sz w:val="24"/>
          <w:highlight w:val="none"/>
          <w:u w:val="single"/>
        </w:rPr>
        <w:t xml:space="preserve">                             </w:t>
      </w:r>
    </w:p>
    <w:p>
      <w:pPr>
        <w:topLinePunct/>
        <w:spacing w:line="400" w:lineRule="atLeast"/>
        <w:ind w:firstLine="3290" w:firstLineChars="1371"/>
        <w:rPr>
          <w:sz w:val="24"/>
          <w:highlight w:val="none"/>
        </w:rPr>
      </w:pPr>
    </w:p>
    <w:p>
      <w:pPr>
        <w:topLinePunct/>
        <w:spacing w:line="400" w:lineRule="atLeast"/>
        <w:ind w:left="418" w:leftChars="199" w:firstLine="4200" w:firstLineChars="1750"/>
        <w:jc w:val="left"/>
        <w:rPr>
          <w:sz w:val="24"/>
          <w:highlight w:val="none"/>
        </w:rPr>
      </w:pPr>
      <w:r>
        <w:rPr>
          <w:sz w:val="24"/>
          <w:highlight w:val="none"/>
          <w:u w:val="single"/>
        </w:rPr>
        <w:t xml:space="preserve">       </w:t>
      </w:r>
      <w:r>
        <w:rPr>
          <w:sz w:val="24"/>
          <w:highlight w:val="none"/>
        </w:rPr>
        <w:t xml:space="preserve">年 </w:t>
      </w:r>
      <w:r>
        <w:rPr>
          <w:sz w:val="24"/>
          <w:highlight w:val="none"/>
          <w:u w:val="single"/>
        </w:rPr>
        <w:t xml:space="preserve">        </w:t>
      </w:r>
      <w:r>
        <w:rPr>
          <w:sz w:val="24"/>
          <w:highlight w:val="none"/>
        </w:rPr>
        <w:t xml:space="preserve">月 </w:t>
      </w:r>
      <w:r>
        <w:rPr>
          <w:sz w:val="24"/>
          <w:highlight w:val="none"/>
          <w:u w:val="single"/>
        </w:rPr>
        <w:t xml:space="preserve">      </w:t>
      </w:r>
      <w:r>
        <w:rPr>
          <w:sz w:val="24"/>
          <w:highlight w:val="none"/>
        </w:rPr>
        <w:t xml:space="preserve"> 日</w:t>
      </w:r>
    </w:p>
    <w:p>
      <w:pPr>
        <w:pStyle w:val="27"/>
        <w:spacing w:line="440" w:lineRule="atLeast"/>
        <w:rPr>
          <w:sz w:val="21"/>
          <w:szCs w:val="21"/>
          <w:highlight w:val="none"/>
        </w:rPr>
      </w:pPr>
      <w:r>
        <w:rPr>
          <w:sz w:val="21"/>
          <w:szCs w:val="21"/>
          <w:highlight w:val="none"/>
        </w:rPr>
        <w:t>注：</w:t>
      </w:r>
    </w:p>
    <w:p>
      <w:pPr>
        <w:spacing w:line="440" w:lineRule="atLeast"/>
        <w:ind w:firstLine="420" w:firstLineChars="200"/>
        <w:rPr>
          <w:szCs w:val="21"/>
          <w:highlight w:val="none"/>
        </w:rPr>
      </w:pPr>
      <w:r>
        <w:rPr>
          <w:szCs w:val="21"/>
          <w:highlight w:val="none"/>
        </w:rPr>
        <w:t>1.法定代表人和委托代理人必须在授权委托书上亲笔签名，不得使用印章、签名章或其他电子制版签名代替；</w:t>
      </w:r>
    </w:p>
    <w:p>
      <w:pPr>
        <w:spacing w:line="440" w:lineRule="atLeast"/>
        <w:ind w:firstLine="420" w:firstLineChars="200"/>
        <w:rPr>
          <w:szCs w:val="21"/>
          <w:highlight w:val="none"/>
        </w:rPr>
      </w:pPr>
      <w:r>
        <w:rPr>
          <w:szCs w:val="21"/>
          <w:highlight w:val="none"/>
        </w:rPr>
        <w:t>2.以联合体形式投标的，本授权委托书应由联合体牵头人的法定代表人按上述规定签署。</w:t>
      </w:r>
    </w:p>
    <w:p>
      <w:pPr>
        <w:spacing w:before="468" w:beforeLines="150" w:after="312" w:afterLines="100" w:line="440" w:lineRule="atLeast"/>
        <w:jc w:val="center"/>
        <w:rPr>
          <w:rFonts w:eastAsia="黑体"/>
          <w:sz w:val="28"/>
          <w:szCs w:val="28"/>
          <w:highlight w:val="none"/>
        </w:rPr>
      </w:pPr>
      <w:r>
        <w:rPr>
          <w:rFonts w:eastAsia="黑体"/>
          <w:sz w:val="28"/>
          <w:szCs w:val="28"/>
          <w:highlight w:val="none"/>
        </w:rPr>
        <w:br w:type="page"/>
      </w:r>
      <w:bookmarkStart w:id="918" w:name="_Toc21607"/>
      <w:r>
        <w:rPr>
          <w:rFonts w:eastAsia="黑体"/>
          <w:sz w:val="28"/>
          <w:szCs w:val="28"/>
          <w:highlight w:val="none"/>
        </w:rPr>
        <w:t>（二）法定代表人身份证明</w:t>
      </w:r>
      <w:bookmarkEnd w:id="918"/>
    </w:p>
    <w:p>
      <w:pPr>
        <w:spacing w:line="440" w:lineRule="atLeast"/>
        <w:rPr>
          <w:sz w:val="20"/>
          <w:highlight w:val="none"/>
        </w:rPr>
      </w:pPr>
    </w:p>
    <w:p>
      <w:pPr>
        <w:spacing w:line="440" w:lineRule="atLeast"/>
        <w:rPr>
          <w:sz w:val="24"/>
          <w:highlight w:val="none"/>
        </w:rPr>
      </w:pPr>
      <w:r>
        <w:rPr>
          <w:sz w:val="24"/>
          <w:highlight w:val="none"/>
        </w:rPr>
        <w:t>投标人名称：</w:t>
      </w:r>
      <w:r>
        <w:rPr>
          <w:sz w:val="24"/>
          <w:highlight w:val="none"/>
          <w:u w:val="single"/>
        </w:rPr>
        <w:t xml:space="preserve">                            </w:t>
      </w:r>
      <w:r>
        <w:rPr>
          <w:sz w:val="24"/>
          <w:highlight w:val="none"/>
        </w:rPr>
        <w:t xml:space="preserve"> </w:t>
      </w:r>
    </w:p>
    <w:p>
      <w:pPr>
        <w:spacing w:line="440" w:lineRule="atLeast"/>
        <w:rPr>
          <w:sz w:val="24"/>
          <w:highlight w:val="none"/>
        </w:rPr>
      </w:pPr>
      <w:r>
        <w:rPr>
          <w:sz w:val="24"/>
          <w:highlight w:val="none"/>
        </w:rPr>
        <w:t>姓名：</w:t>
      </w:r>
      <w:r>
        <w:rPr>
          <w:sz w:val="24"/>
          <w:highlight w:val="none"/>
          <w:u w:val="single"/>
        </w:rPr>
        <w:t xml:space="preserve">  </w:t>
      </w:r>
      <w:r>
        <w:rPr>
          <w:bCs/>
          <w:sz w:val="24"/>
          <w:highlight w:val="none"/>
          <w:u w:val="single"/>
        </w:rPr>
        <w:t>（法定代表人亲笔签字）</w:t>
      </w:r>
      <w:r>
        <w:rPr>
          <w:sz w:val="24"/>
          <w:highlight w:val="none"/>
          <w:u w:val="single"/>
        </w:rPr>
        <w:t xml:space="preserve"> </w:t>
      </w:r>
      <w:r>
        <w:rPr>
          <w:sz w:val="24"/>
          <w:highlight w:val="none"/>
        </w:rPr>
        <w:t xml:space="preserve"> 性别：</w:t>
      </w:r>
      <w:r>
        <w:rPr>
          <w:sz w:val="24"/>
          <w:highlight w:val="none"/>
          <w:u w:val="single"/>
        </w:rPr>
        <w:t xml:space="preserve">     </w:t>
      </w:r>
      <w:r>
        <w:rPr>
          <w:sz w:val="24"/>
          <w:highlight w:val="none"/>
        </w:rPr>
        <w:t xml:space="preserve"> 年龄：</w:t>
      </w:r>
      <w:r>
        <w:rPr>
          <w:sz w:val="24"/>
          <w:highlight w:val="none"/>
          <w:u w:val="single"/>
        </w:rPr>
        <w:t xml:space="preserve">        </w:t>
      </w:r>
      <w:r>
        <w:rPr>
          <w:sz w:val="24"/>
          <w:highlight w:val="none"/>
        </w:rPr>
        <w:t>职务：</w:t>
      </w:r>
      <w:r>
        <w:rPr>
          <w:sz w:val="24"/>
          <w:highlight w:val="none"/>
          <w:u w:val="single"/>
        </w:rPr>
        <w:t xml:space="preserve">        </w:t>
      </w:r>
    </w:p>
    <w:p>
      <w:pPr>
        <w:spacing w:line="440" w:lineRule="atLeast"/>
        <w:rPr>
          <w:sz w:val="24"/>
          <w:highlight w:val="none"/>
        </w:rPr>
      </w:pPr>
      <w:r>
        <w:rPr>
          <w:sz w:val="24"/>
          <w:highlight w:val="none"/>
        </w:rPr>
        <w:t>系</w:t>
      </w:r>
      <w:r>
        <w:rPr>
          <w:sz w:val="24"/>
          <w:highlight w:val="none"/>
          <w:u w:val="single"/>
        </w:rPr>
        <w:t xml:space="preserve">                             </w:t>
      </w:r>
      <w:r>
        <w:rPr>
          <w:sz w:val="24"/>
          <w:highlight w:val="none"/>
        </w:rPr>
        <w:t xml:space="preserve"> （投标人名称）的法定代表人。</w:t>
      </w:r>
    </w:p>
    <w:p>
      <w:pPr>
        <w:spacing w:line="440" w:lineRule="atLeast"/>
        <w:ind w:firstLine="480" w:firstLineChars="200"/>
        <w:rPr>
          <w:sz w:val="24"/>
          <w:highlight w:val="none"/>
        </w:rPr>
      </w:pPr>
      <w:r>
        <w:rPr>
          <w:sz w:val="24"/>
          <w:highlight w:val="none"/>
        </w:rPr>
        <w:t>特此证明。</w:t>
      </w:r>
    </w:p>
    <w:p>
      <w:pPr>
        <w:spacing w:line="440" w:lineRule="atLeast"/>
        <w:rPr>
          <w:sz w:val="24"/>
          <w:highlight w:val="none"/>
        </w:rPr>
      </w:pPr>
    </w:p>
    <w:p>
      <w:pPr>
        <w:spacing w:line="440" w:lineRule="atLeast"/>
        <w:rPr>
          <w:highlight w:val="none"/>
        </w:rPr>
      </w:pPr>
      <w:r>
        <w:rPr>
          <w:highlight w:val="none"/>
        </w:rPr>
        <w:t>附：法定代表人身份证复印件。</w:t>
      </w:r>
    </w:p>
    <w:p>
      <w:pPr>
        <w:spacing w:line="440" w:lineRule="atLeast"/>
        <w:rPr>
          <w:highlight w:val="none"/>
        </w:rPr>
      </w:pPr>
    </w:p>
    <w:p>
      <w:pPr>
        <w:spacing w:line="440" w:lineRule="atLeast"/>
        <w:rPr>
          <w:sz w:val="24"/>
          <w:highlight w:val="none"/>
        </w:rPr>
      </w:pPr>
    </w:p>
    <w:p>
      <w:pPr>
        <w:spacing w:line="440" w:lineRule="atLeast"/>
        <w:rPr>
          <w:sz w:val="24"/>
          <w:highlight w:val="none"/>
        </w:rPr>
      </w:pPr>
    </w:p>
    <w:p>
      <w:pPr>
        <w:spacing w:line="440" w:lineRule="atLeast"/>
        <w:rPr>
          <w:sz w:val="24"/>
          <w:highlight w:val="none"/>
        </w:rPr>
      </w:pPr>
      <w:r>
        <w:rPr>
          <w:sz w:val="24"/>
          <w:highlight w:val="none"/>
        </w:rPr>
        <w:t xml:space="preserve">                          投标人：</w:t>
      </w:r>
      <w:r>
        <w:rPr>
          <w:sz w:val="24"/>
          <w:highlight w:val="none"/>
          <w:u w:val="single"/>
        </w:rPr>
        <w:t xml:space="preserve">                 </w:t>
      </w:r>
      <w:r>
        <w:rPr>
          <w:sz w:val="24"/>
          <w:highlight w:val="none"/>
        </w:rPr>
        <w:t>（盖单位章）</w:t>
      </w:r>
    </w:p>
    <w:p>
      <w:pPr>
        <w:spacing w:line="440" w:lineRule="atLeast"/>
        <w:rPr>
          <w:sz w:val="24"/>
          <w:highlight w:val="none"/>
        </w:rPr>
      </w:pPr>
      <w:r>
        <w:rPr>
          <w:sz w:val="24"/>
          <w:highlight w:val="none"/>
        </w:rPr>
        <w:t xml:space="preserve">                                    </w:t>
      </w: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 xml:space="preserve"> 日</w:t>
      </w:r>
    </w:p>
    <w:p>
      <w:pPr>
        <w:topLinePunct/>
        <w:spacing w:line="440" w:lineRule="atLeast"/>
        <w:rPr>
          <w:rFonts w:eastAsia="黑体"/>
          <w:sz w:val="24"/>
          <w:highlight w:val="none"/>
        </w:rPr>
      </w:pPr>
    </w:p>
    <w:p>
      <w:pPr>
        <w:topLinePunct/>
        <w:spacing w:line="440" w:lineRule="atLeast"/>
        <w:rPr>
          <w:rFonts w:eastAsia="黑体"/>
          <w:sz w:val="24"/>
          <w:highlight w:val="none"/>
        </w:rPr>
      </w:pPr>
    </w:p>
    <w:p>
      <w:pPr>
        <w:topLinePunct/>
        <w:spacing w:line="440" w:lineRule="atLeast"/>
        <w:rPr>
          <w:rFonts w:eastAsia="黑体"/>
          <w:sz w:val="24"/>
          <w:highlight w:val="none"/>
        </w:rPr>
      </w:pPr>
    </w:p>
    <w:p>
      <w:pPr>
        <w:topLinePunct/>
        <w:spacing w:line="440" w:lineRule="atLeast"/>
        <w:rPr>
          <w:rFonts w:eastAsia="黑体"/>
          <w:sz w:val="24"/>
          <w:highlight w:val="none"/>
        </w:rPr>
      </w:pPr>
    </w:p>
    <w:p>
      <w:pPr>
        <w:spacing w:line="440" w:lineRule="atLeast"/>
        <w:ind w:firstLine="420" w:firstLineChars="200"/>
        <w:rPr>
          <w:szCs w:val="21"/>
          <w:highlight w:val="none"/>
        </w:rPr>
      </w:pPr>
      <w:r>
        <w:rPr>
          <w:szCs w:val="21"/>
          <w:highlight w:val="none"/>
        </w:rPr>
        <w:t>注：法定代表人的签字必须是亲笔签名，不得使用印章、签名章或其他电子制版签名代替。</w:t>
      </w:r>
    </w:p>
    <w:p>
      <w:pPr>
        <w:spacing w:line="440" w:lineRule="atLeast"/>
        <w:jc w:val="left"/>
        <w:rPr>
          <w:szCs w:val="21"/>
          <w:highlight w:val="none"/>
        </w:rPr>
      </w:pPr>
    </w:p>
    <w:p>
      <w:pPr>
        <w:spacing w:line="440" w:lineRule="atLeast"/>
        <w:jc w:val="center"/>
        <w:rPr>
          <w:rFonts w:eastAsia="黑体"/>
          <w:sz w:val="24"/>
          <w:highlight w:val="none"/>
        </w:rPr>
      </w:pPr>
    </w:p>
    <w:p>
      <w:pPr>
        <w:spacing w:before="468" w:beforeLines="150" w:after="312" w:afterLines="100" w:line="440" w:lineRule="atLeast"/>
        <w:jc w:val="center"/>
        <w:rPr>
          <w:rFonts w:eastAsia="黑体"/>
          <w:sz w:val="28"/>
          <w:szCs w:val="28"/>
          <w:highlight w:val="none"/>
        </w:rPr>
      </w:pPr>
      <w:r>
        <w:rPr>
          <w:rFonts w:eastAsia="黑体"/>
          <w:sz w:val="28"/>
          <w:szCs w:val="28"/>
          <w:highlight w:val="none"/>
        </w:rPr>
        <w:br w:type="page"/>
      </w:r>
      <w:bookmarkStart w:id="919" w:name="_Toc30083"/>
      <w:r>
        <w:rPr>
          <w:rFonts w:eastAsia="黑体"/>
          <w:sz w:val="28"/>
          <w:szCs w:val="28"/>
          <w:highlight w:val="none"/>
        </w:rPr>
        <w:t>三、联合体协议书</w:t>
      </w:r>
      <w:r>
        <w:rPr>
          <w:rStyle w:val="48"/>
          <w:rFonts w:eastAsia="黑体"/>
          <w:sz w:val="28"/>
          <w:szCs w:val="28"/>
          <w:highlight w:val="none"/>
        </w:rPr>
        <w:footnoteReference w:id="18"/>
      </w:r>
      <w:bookmarkEnd w:id="919"/>
    </w:p>
    <w:p>
      <w:pPr>
        <w:spacing w:line="440" w:lineRule="atLeast"/>
        <w:ind w:firstLine="360"/>
        <w:rPr>
          <w:sz w:val="24"/>
          <w:highlight w:val="none"/>
        </w:rPr>
      </w:pPr>
      <w:r>
        <w:rPr>
          <w:rFonts w:eastAsia="黑体"/>
          <w:sz w:val="24"/>
          <w:highlight w:val="none"/>
          <w:u w:val="single"/>
        </w:rPr>
        <w:t xml:space="preserve">                </w:t>
      </w:r>
      <w:r>
        <w:rPr>
          <w:rFonts w:eastAsia="黑体"/>
          <w:sz w:val="24"/>
          <w:highlight w:val="none"/>
        </w:rPr>
        <w:t>（</w:t>
      </w:r>
      <w:r>
        <w:rPr>
          <w:sz w:val="24"/>
          <w:highlight w:val="none"/>
        </w:rPr>
        <w:t>所有成员单位名称）自愿组成</w:t>
      </w:r>
      <w:r>
        <w:rPr>
          <w:sz w:val="24"/>
          <w:highlight w:val="none"/>
          <w:u w:val="single"/>
        </w:rPr>
        <w:t xml:space="preserve">        </w:t>
      </w:r>
      <w:r>
        <w:rPr>
          <w:sz w:val="24"/>
          <w:highlight w:val="none"/>
        </w:rPr>
        <w:t>（联合体名称）联合体，共同参加</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w:t>
      </w:r>
      <w:r>
        <w:rPr>
          <w:rFonts w:hint="eastAsia"/>
          <w:sz w:val="24"/>
          <w:highlight w:val="none"/>
        </w:rPr>
        <w:t>服务</w:t>
      </w:r>
      <w:r>
        <w:rPr>
          <w:sz w:val="24"/>
          <w:highlight w:val="none"/>
        </w:rPr>
        <w:t>投标。现就联合体投标事宜订立如下协议。</w:t>
      </w:r>
    </w:p>
    <w:p>
      <w:pPr>
        <w:spacing w:line="440" w:lineRule="atLeast"/>
        <w:ind w:firstLine="390"/>
        <w:rPr>
          <w:sz w:val="24"/>
          <w:highlight w:val="none"/>
        </w:rPr>
      </w:pPr>
      <w:r>
        <w:rPr>
          <w:sz w:val="24"/>
          <w:highlight w:val="none"/>
        </w:rPr>
        <w:t>1.</w:t>
      </w:r>
      <w:r>
        <w:rPr>
          <w:sz w:val="24"/>
          <w:highlight w:val="none"/>
          <w:u w:val="single"/>
        </w:rPr>
        <w:t xml:space="preserve">          </w:t>
      </w:r>
      <w:r>
        <w:rPr>
          <w:sz w:val="24"/>
          <w:highlight w:val="none"/>
        </w:rPr>
        <w:t>（某成员单位名称）为</w:t>
      </w:r>
      <w:r>
        <w:rPr>
          <w:sz w:val="24"/>
          <w:highlight w:val="none"/>
          <w:u w:val="single"/>
        </w:rPr>
        <w:t xml:space="preserve">        </w:t>
      </w:r>
      <w:r>
        <w:rPr>
          <w:sz w:val="24"/>
          <w:highlight w:val="none"/>
        </w:rPr>
        <w:t>（联合体名称）牵头人。</w:t>
      </w:r>
    </w:p>
    <w:p>
      <w:pPr>
        <w:spacing w:line="440" w:lineRule="atLeast"/>
        <w:ind w:firstLine="390"/>
        <w:rPr>
          <w:sz w:val="24"/>
          <w:highlight w:val="none"/>
        </w:rPr>
      </w:pPr>
      <w:r>
        <w:rPr>
          <w:sz w:val="24"/>
          <w:highlight w:val="none"/>
        </w:rPr>
        <w:t>2.联合体各成员授权牵头人代表联合体参加投标活动，签署文件，提交和接收相关的资料、信息及指示，进行合同谈判活动，负责合同实施阶段的组织和协调工作，以及处理与本招标项目有关的一切事宜。</w:t>
      </w:r>
    </w:p>
    <w:p>
      <w:pPr>
        <w:spacing w:line="558" w:lineRule="exact"/>
        <w:ind w:firstLine="390"/>
        <w:rPr>
          <w:rFonts w:eastAsiaTheme="minorEastAsia"/>
          <w:bCs/>
          <w:sz w:val="24"/>
          <w:highlight w:val="none"/>
        </w:rPr>
      </w:pPr>
      <w:bookmarkStart w:id="920" w:name="_Hlk12451256"/>
      <w:r>
        <w:rPr>
          <w:rFonts w:hint="eastAsia" w:eastAsiaTheme="minorEastAsia"/>
          <w:bCs/>
          <w:sz w:val="24"/>
          <w:highlight w:val="none"/>
        </w:rPr>
        <w:t>联合体各成员共同指定牵头人如下银行账户为投标和合同履行专用账户：</w:t>
      </w:r>
    </w:p>
    <w:p>
      <w:pPr>
        <w:spacing w:line="558" w:lineRule="exact"/>
        <w:ind w:firstLine="390"/>
        <w:rPr>
          <w:rFonts w:eastAsiaTheme="minorEastAsia"/>
          <w:bCs/>
          <w:sz w:val="24"/>
          <w:highlight w:val="none"/>
        </w:rPr>
      </w:pPr>
      <w:r>
        <w:rPr>
          <w:rFonts w:hint="eastAsia" w:eastAsiaTheme="minorEastAsia"/>
          <w:bCs/>
          <w:sz w:val="24"/>
          <w:highlight w:val="none"/>
        </w:rPr>
        <w:t>开户名：</w:t>
      </w:r>
      <w:r>
        <w:rPr>
          <w:rFonts w:eastAsiaTheme="minorEastAsia"/>
          <w:bCs/>
          <w:sz w:val="24"/>
          <w:highlight w:val="none"/>
          <w:u w:val="single"/>
        </w:rPr>
        <w:t xml:space="preserve">                                                        </w:t>
      </w:r>
    </w:p>
    <w:p>
      <w:pPr>
        <w:spacing w:line="558" w:lineRule="exact"/>
        <w:ind w:firstLine="390"/>
        <w:rPr>
          <w:rFonts w:eastAsiaTheme="minorEastAsia"/>
          <w:bCs/>
          <w:sz w:val="24"/>
          <w:highlight w:val="none"/>
        </w:rPr>
      </w:pPr>
      <w:r>
        <w:rPr>
          <w:rFonts w:hint="eastAsia" w:eastAsiaTheme="minorEastAsia"/>
          <w:bCs/>
          <w:sz w:val="24"/>
          <w:highlight w:val="none"/>
        </w:rPr>
        <w:t>开户行</w:t>
      </w:r>
      <w:r>
        <w:rPr>
          <w:rFonts w:eastAsiaTheme="minorEastAsia"/>
          <w:bCs/>
          <w:sz w:val="24"/>
          <w:highlight w:val="none"/>
        </w:rPr>
        <w:t xml:space="preserve">: </w:t>
      </w:r>
      <w:r>
        <w:rPr>
          <w:rFonts w:eastAsiaTheme="minorEastAsia"/>
          <w:bCs/>
          <w:sz w:val="24"/>
          <w:highlight w:val="none"/>
          <w:u w:val="single"/>
        </w:rPr>
        <w:t xml:space="preserve">                                                        </w:t>
      </w:r>
      <w:r>
        <w:rPr>
          <w:rFonts w:eastAsiaTheme="minorEastAsia"/>
          <w:bCs/>
          <w:sz w:val="24"/>
          <w:highlight w:val="none"/>
        </w:rPr>
        <w:t xml:space="preserve"> </w:t>
      </w:r>
    </w:p>
    <w:p>
      <w:pPr>
        <w:spacing w:line="440" w:lineRule="atLeast"/>
        <w:ind w:firstLine="390"/>
        <w:rPr>
          <w:rFonts w:eastAsiaTheme="minorEastAsia"/>
          <w:bCs/>
          <w:sz w:val="24"/>
          <w:highlight w:val="none"/>
        </w:rPr>
      </w:pPr>
      <w:r>
        <w:rPr>
          <w:rFonts w:hint="eastAsia" w:eastAsiaTheme="minorEastAsia"/>
          <w:bCs/>
          <w:sz w:val="24"/>
          <w:highlight w:val="none"/>
        </w:rPr>
        <w:t>账号：</w:t>
      </w:r>
      <w:r>
        <w:rPr>
          <w:rFonts w:eastAsiaTheme="minorEastAsia"/>
          <w:bCs/>
          <w:sz w:val="24"/>
          <w:highlight w:val="none"/>
        </w:rPr>
        <w:t xml:space="preserve"> </w:t>
      </w:r>
      <w:r>
        <w:rPr>
          <w:rFonts w:eastAsiaTheme="minorEastAsia"/>
          <w:bCs/>
          <w:sz w:val="24"/>
          <w:highlight w:val="none"/>
          <w:u w:val="single"/>
        </w:rPr>
        <w:t xml:space="preserve">                                                         </w:t>
      </w:r>
    </w:p>
    <w:bookmarkEnd w:id="920"/>
    <w:p>
      <w:pPr>
        <w:spacing w:line="440" w:lineRule="atLeast"/>
        <w:ind w:firstLine="390"/>
        <w:rPr>
          <w:sz w:val="24"/>
          <w:highlight w:val="none"/>
        </w:rPr>
      </w:pPr>
      <w:r>
        <w:rPr>
          <w:sz w:val="24"/>
          <w:highlight w:val="none"/>
        </w:rPr>
        <w:t>3.联合体牵头人在本项目中签署的一切文件和处理的一切事宜，联合体各成员均予以承认。联合体各成员将严格按照招标文件、投标文件和合同的要求全面履行义务，并向招标人承担连带责任。</w:t>
      </w:r>
    </w:p>
    <w:p>
      <w:pPr>
        <w:spacing w:line="440" w:lineRule="atLeast"/>
        <w:ind w:firstLine="390"/>
        <w:rPr>
          <w:sz w:val="24"/>
          <w:highlight w:val="none"/>
        </w:rPr>
      </w:pPr>
      <w:bookmarkStart w:id="921" w:name="_Hlk12838262"/>
      <w:bookmarkStart w:id="922" w:name="_Hlk12451313"/>
      <w:r>
        <w:rPr>
          <w:rFonts w:hint="eastAsia"/>
          <w:sz w:val="24"/>
          <w:highlight w:val="none"/>
        </w:rPr>
        <w:t>联合体各成员在招标投标及合同履行过程中产生纠纷的，由联合体各成员协商解决，招标人（委托人）不对此承担任何责任，由此造成招标人（委托人）损失的，联合体各成员应承担连带赔偿责任。</w:t>
      </w:r>
    </w:p>
    <w:bookmarkEnd w:id="921"/>
    <w:p>
      <w:pPr>
        <w:topLinePunct/>
        <w:spacing w:line="440" w:lineRule="atLeast"/>
        <w:ind w:firstLine="480" w:firstLineChars="200"/>
        <w:rPr>
          <w:sz w:val="24"/>
          <w:highlight w:val="none"/>
        </w:rPr>
      </w:pPr>
      <w:r>
        <w:rPr>
          <w:sz w:val="24"/>
          <w:highlight w:val="none"/>
        </w:rPr>
        <w:t>4.联合体各成员单位内部的职责分工如下：</w:t>
      </w:r>
      <w:r>
        <w:rPr>
          <w:sz w:val="24"/>
          <w:highlight w:val="none"/>
          <w:u w:val="single"/>
        </w:rPr>
        <w:t>（牵头人名称）</w:t>
      </w:r>
      <w:r>
        <w:rPr>
          <w:sz w:val="24"/>
          <w:highlight w:val="none"/>
        </w:rPr>
        <w:t>承担</w:t>
      </w:r>
      <w:r>
        <w:rPr>
          <w:sz w:val="24"/>
          <w:highlight w:val="none"/>
          <w:u w:val="single"/>
        </w:rPr>
        <w:t xml:space="preserve">     </w:t>
      </w:r>
      <w:r>
        <w:rPr>
          <w:sz w:val="24"/>
          <w:highlight w:val="none"/>
        </w:rPr>
        <w:t>专业工程，占总工程量的</w:t>
      </w:r>
      <w:r>
        <w:rPr>
          <w:sz w:val="24"/>
          <w:highlight w:val="none"/>
          <w:u w:val="single"/>
        </w:rPr>
        <w:t xml:space="preserve">   </w:t>
      </w:r>
      <w:r>
        <w:rPr>
          <w:sz w:val="24"/>
          <w:highlight w:val="none"/>
        </w:rPr>
        <w:t>%；</w:t>
      </w:r>
      <w:r>
        <w:rPr>
          <w:sz w:val="24"/>
          <w:highlight w:val="none"/>
          <w:u w:val="single"/>
        </w:rPr>
        <w:t>（成员一名称）</w:t>
      </w:r>
      <w:r>
        <w:rPr>
          <w:sz w:val="24"/>
          <w:highlight w:val="none"/>
        </w:rPr>
        <w:t>承担</w:t>
      </w:r>
      <w:r>
        <w:rPr>
          <w:sz w:val="24"/>
          <w:highlight w:val="none"/>
          <w:u w:val="single"/>
        </w:rPr>
        <w:t xml:space="preserve">    </w:t>
      </w:r>
      <w:r>
        <w:rPr>
          <w:sz w:val="24"/>
          <w:highlight w:val="none"/>
        </w:rPr>
        <w:t>专业工程，占总工程量的</w:t>
      </w:r>
      <w:r>
        <w:rPr>
          <w:sz w:val="24"/>
          <w:highlight w:val="none"/>
          <w:u w:val="single"/>
        </w:rPr>
        <w:t xml:space="preserve">     </w:t>
      </w:r>
      <w:r>
        <w:rPr>
          <w:sz w:val="24"/>
          <w:highlight w:val="none"/>
        </w:rPr>
        <w:t>%；……。</w:t>
      </w:r>
    </w:p>
    <w:p>
      <w:pPr>
        <w:spacing w:line="440" w:lineRule="atLeast"/>
        <w:ind w:firstLine="390"/>
        <w:rPr>
          <w:sz w:val="24"/>
          <w:highlight w:val="none"/>
        </w:rPr>
      </w:pPr>
      <w:r>
        <w:rPr>
          <w:sz w:val="24"/>
          <w:highlight w:val="none"/>
        </w:rPr>
        <w:t>5.</w:t>
      </w:r>
      <w:r>
        <w:rPr>
          <w:rFonts w:hint="eastAsia"/>
          <w:sz w:val="24"/>
          <w:highlight w:val="none"/>
        </w:rPr>
        <w:t>投标工作和联合体在中标后工程实施过程中的有关费用按各自承担的工作量分摊。</w:t>
      </w:r>
    </w:p>
    <w:p>
      <w:pPr>
        <w:spacing w:line="440" w:lineRule="atLeast"/>
        <w:ind w:firstLine="390"/>
        <w:rPr>
          <w:sz w:val="24"/>
          <w:highlight w:val="none"/>
        </w:rPr>
      </w:pPr>
      <w:bookmarkStart w:id="923" w:name="_Hlk12452892"/>
      <w:r>
        <w:rPr>
          <w:sz w:val="24"/>
          <w:highlight w:val="none"/>
        </w:rPr>
        <w:t>6.</w:t>
      </w:r>
      <w:r>
        <w:rPr>
          <w:rFonts w:hint="eastAsia"/>
          <w:sz w:val="24"/>
          <w:highlight w:val="none"/>
        </w:rPr>
        <w:t>本协议书自所有成员单位法定代表人签字并盖单位章之日起生效，</w:t>
      </w:r>
      <w:bookmarkStart w:id="924" w:name="_Hlk6320150"/>
      <w:r>
        <w:rPr>
          <w:rFonts w:hint="eastAsia"/>
          <w:sz w:val="24"/>
          <w:highlight w:val="none"/>
        </w:rPr>
        <w:t>未经招标人（委托人）同意，不得变更联合体协议书，</w:t>
      </w:r>
      <w:bookmarkEnd w:id="924"/>
      <w:r>
        <w:rPr>
          <w:rFonts w:hint="eastAsia"/>
          <w:sz w:val="24"/>
          <w:highlight w:val="none"/>
        </w:rPr>
        <w:t>合同履行完毕后</w:t>
      </w:r>
      <w:r>
        <w:rPr>
          <w:sz w:val="24"/>
          <w:highlight w:val="none"/>
        </w:rPr>
        <w:t>终止</w:t>
      </w:r>
      <w:r>
        <w:rPr>
          <w:rFonts w:hint="eastAsia"/>
          <w:sz w:val="24"/>
          <w:highlight w:val="none"/>
        </w:rPr>
        <w:t>。</w:t>
      </w:r>
    </w:p>
    <w:bookmarkEnd w:id="923"/>
    <w:p>
      <w:pPr>
        <w:spacing w:line="440" w:lineRule="atLeast"/>
        <w:ind w:firstLine="480" w:firstLineChars="200"/>
        <w:rPr>
          <w:sz w:val="24"/>
          <w:highlight w:val="none"/>
        </w:rPr>
      </w:pPr>
      <w:r>
        <w:rPr>
          <w:sz w:val="24"/>
          <w:highlight w:val="none"/>
        </w:rPr>
        <w:t>7.本协议书一式</w:t>
      </w:r>
      <w:r>
        <w:rPr>
          <w:sz w:val="24"/>
          <w:highlight w:val="none"/>
          <w:u w:val="single"/>
        </w:rPr>
        <w:t xml:space="preserve">    </w:t>
      </w:r>
      <w:r>
        <w:rPr>
          <w:sz w:val="24"/>
          <w:highlight w:val="none"/>
        </w:rPr>
        <w:t>份，联合体成员和招标人各执一份。</w:t>
      </w:r>
    </w:p>
    <w:p>
      <w:pPr>
        <w:spacing w:line="440" w:lineRule="atLeast"/>
        <w:ind w:firstLine="480" w:firstLineChars="200"/>
        <w:rPr>
          <w:sz w:val="24"/>
          <w:highlight w:val="none"/>
        </w:rPr>
      </w:pPr>
    </w:p>
    <w:p>
      <w:pPr>
        <w:spacing w:line="440" w:lineRule="atLeast"/>
        <w:ind w:firstLine="480" w:firstLineChars="200"/>
        <w:rPr>
          <w:sz w:val="24"/>
          <w:highlight w:val="none"/>
        </w:rPr>
      </w:pPr>
    </w:p>
    <w:bookmarkEnd w:id="922"/>
    <w:p>
      <w:pPr>
        <w:topLinePunct/>
        <w:spacing w:line="440" w:lineRule="atLeast"/>
        <w:ind w:firstLine="470" w:firstLineChars="196"/>
        <w:rPr>
          <w:sz w:val="24"/>
          <w:highlight w:val="none"/>
        </w:rPr>
      </w:pPr>
      <w:r>
        <w:rPr>
          <w:sz w:val="24"/>
          <w:highlight w:val="none"/>
        </w:rPr>
        <w:t>联合体牵头人名称：</w:t>
      </w:r>
      <w:r>
        <w:rPr>
          <w:sz w:val="24"/>
          <w:highlight w:val="none"/>
          <w:u w:val="single"/>
        </w:rPr>
        <w:t xml:space="preserve">                     </w:t>
      </w:r>
      <w:r>
        <w:rPr>
          <w:sz w:val="24"/>
          <w:highlight w:val="none"/>
        </w:rPr>
        <w:t>（盖单位章）</w:t>
      </w:r>
    </w:p>
    <w:p>
      <w:pPr>
        <w:topLinePunct/>
        <w:spacing w:line="440" w:lineRule="atLeast"/>
        <w:ind w:firstLine="470" w:firstLineChars="196"/>
        <w:rPr>
          <w:sz w:val="24"/>
          <w:highlight w:val="none"/>
        </w:rPr>
      </w:pPr>
      <w:r>
        <w:rPr>
          <w:sz w:val="24"/>
          <w:highlight w:val="none"/>
        </w:rPr>
        <w:t>法定代表人：</w:t>
      </w:r>
      <w:r>
        <w:rPr>
          <w:sz w:val="24"/>
          <w:highlight w:val="none"/>
          <w:u w:val="single"/>
        </w:rPr>
        <w:t xml:space="preserve">                         </w:t>
      </w:r>
      <w:r>
        <w:rPr>
          <w:sz w:val="24"/>
          <w:highlight w:val="none"/>
        </w:rPr>
        <w:t>（签字）</w:t>
      </w:r>
    </w:p>
    <w:p>
      <w:pPr>
        <w:topLinePunct/>
        <w:spacing w:line="440" w:lineRule="atLeast"/>
        <w:ind w:firstLine="470" w:firstLineChars="196"/>
        <w:rPr>
          <w:sz w:val="24"/>
          <w:highlight w:val="none"/>
        </w:rPr>
      </w:pPr>
    </w:p>
    <w:p>
      <w:pPr>
        <w:topLinePunct/>
        <w:spacing w:line="440" w:lineRule="atLeast"/>
        <w:ind w:firstLine="470" w:firstLineChars="196"/>
        <w:rPr>
          <w:sz w:val="24"/>
          <w:highlight w:val="none"/>
        </w:rPr>
      </w:pPr>
      <w:r>
        <w:rPr>
          <w:sz w:val="24"/>
          <w:highlight w:val="none"/>
        </w:rPr>
        <w:t>联合体成员名称：</w:t>
      </w:r>
      <w:r>
        <w:rPr>
          <w:sz w:val="24"/>
          <w:highlight w:val="none"/>
          <w:u w:val="single"/>
        </w:rPr>
        <w:t xml:space="preserve">                     </w:t>
      </w:r>
      <w:r>
        <w:rPr>
          <w:sz w:val="24"/>
          <w:highlight w:val="none"/>
        </w:rPr>
        <w:t>（盖单位章）</w:t>
      </w:r>
    </w:p>
    <w:p>
      <w:pPr>
        <w:topLinePunct/>
        <w:spacing w:line="440" w:lineRule="atLeast"/>
        <w:ind w:firstLine="470" w:firstLineChars="196"/>
        <w:rPr>
          <w:sz w:val="24"/>
          <w:highlight w:val="none"/>
        </w:rPr>
      </w:pPr>
      <w:r>
        <w:rPr>
          <w:sz w:val="24"/>
          <w:highlight w:val="none"/>
        </w:rPr>
        <w:t>法定代表人：</w:t>
      </w:r>
      <w:r>
        <w:rPr>
          <w:sz w:val="24"/>
          <w:highlight w:val="none"/>
          <w:u w:val="single"/>
        </w:rPr>
        <w:t xml:space="preserve">                         </w:t>
      </w:r>
      <w:r>
        <w:rPr>
          <w:sz w:val="24"/>
          <w:highlight w:val="none"/>
        </w:rPr>
        <w:t>（签字）</w:t>
      </w:r>
    </w:p>
    <w:p>
      <w:pPr>
        <w:topLinePunct/>
        <w:spacing w:line="440" w:lineRule="atLeast"/>
        <w:ind w:firstLine="411" w:firstLineChars="196"/>
        <w:rPr>
          <w:szCs w:val="21"/>
          <w:highlight w:val="none"/>
        </w:rPr>
      </w:pPr>
      <w:r>
        <w:rPr>
          <w:szCs w:val="21"/>
          <w:highlight w:val="none"/>
        </w:rPr>
        <w:t xml:space="preserve"> </w:t>
      </w:r>
    </w:p>
    <w:p>
      <w:pPr>
        <w:topLinePunct/>
        <w:spacing w:line="440" w:lineRule="atLeast"/>
        <w:ind w:firstLine="470" w:firstLineChars="196"/>
        <w:rPr>
          <w:sz w:val="24"/>
          <w:highlight w:val="none"/>
        </w:rPr>
      </w:pPr>
      <w:r>
        <w:rPr>
          <w:sz w:val="24"/>
          <w:highlight w:val="none"/>
        </w:rPr>
        <w:t>联合体成员名称：</w:t>
      </w:r>
      <w:r>
        <w:rPr>
          <w:sz w:val="24"/>
          <w:highlight w:val="none"/>
          <w:u w:val="single"/>
        </w:rPr>
        <w:t xml:space="preserve">                     </w:t>
      </w:r>
      <w:r>
        <w:rPr>
          <w:sz w:val="24"/>
          <w:highlight w:val="none"/>
        </w:rPr>
        <w:t>（盖单位章）</w:t>
      </w:r>
    </w:p>
    <w:p>
      <w:pPr>
        <w:spacing w:line="440" w:lineRule="atLeast"/>
        <w:ind w:firstLine="480" w:firstLineChars="200"/>
        <w:rPr>
          <w:sz w:val="24"/>
          <w:highlight w:val="none"/>
        </w:rPr>
      </w:pPr>
      <w:r>
        <w:rPr>
          <w:sz w:val="24"/>
          <w:highlight w:val="none"/>
        </w:rPr>
        <w:t>法定代表人：</w:t>
      </w:r>
      <w:r>
        <w:rPr>
          <w:sz w:val="24"/>
          <w:highlight w:val="none"/>
          <w:u w:val="single"/>
        </w:rPr>
        <w:t xml:space="preserve">                         </w:t>
      </w:r>
      <w:r>
        <w:rPr>
          <w:sz w:val="24"/>
          <w:highlight w:val="none"/>
        </w:rPr>
        <w:t>（签字）</w:t>
      </w:r>
    </w:p>
    <w:p>
      <w:pPr>
        <w:spacing w:line="440" w:lineRule="atLeast"/>
        <w:ind w:firstLine="480" w:firstLineChars="200"/>
        <w:rPr>
          <w:rFonts w:eastAsia="黑体"/>
          <w:sz w:val="24"/>
          <w:highlight w:val="none"/>
        </w:rPr>
      </w:pPr>
      <w:r>
        <w:rPr>
          <w:rFonts w:eastAsia="黑体"/>
          <w:sz w:val="24"/>
          <w:highlight w:val="none"/>
        </w:rPr>
        <w:t>……</w:t>
      </w:r>
    </w:p>
    <w:p>
      <w:pPr>
        <w:spacing w:line="440" w:lineRule="atLeast"/>
        <w:ind w:firstLine="2700" w:firstLineChars="1125"/>
        <w:jc w:val="right"/>
        <w:rPr>
          <w:rFonts w:eastAsia="黑体"/>
          <w:sz w:val="24"/>
          <w:highlight w:val="none"/>
          <w:u w:val="single"/>
        </w:rPr>
      </w:pPr>
      <w:r>
        <w:rPr>
          <w:sz w:val="24"/>
          <w:highlight w:val="none"/>
          <w:u w:val="single"/>
        </w:rPr>
        <w:t xml:space="preserve">       </w:t>
      </w:r>
      <w:r>
        <w:rPr>
          <w:sz w:val="24"/>
          <w:highlight w:val="none"/>
        </w:rPr>
        <w:t xml:space="preserve">年 </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spacing w:line="440" w:lineRule="atLeast"/>
        <w:jc w:val="center"/>
        <w:rPr>
          <w:rFonts w:eastAsia="黑体"/>
          <w:sz w:val="28"/>
          <w:szCs w:val="28"/>
          <w:highlight w:val="none"/>
        </w:rPr>
      </w:pPr>
      <w:r>
        <w:rPr>
          <w:rFonts w:eastAsia="黑体"/>
          <w:sz w:val="28"/>
          <w:szCs w:val="28"/>
          <w:highlight w:val="none"/>
        </w:rPr>
        <w:br w:type="page"/>
      </w:r>
      <w:bookmarkStart w:id="925" w:name="_Toc1849"/>
      <w:r>
        <w:rPr>
          <w:rFonts w:eastAsia="黑体"/>
          <w:sz w:val="28"/>
          <w:szCs w:val="28"/>
          <w:highlight w:val="none"/>
        </w:rPr>
        <w:t>四、投标保证金</w:t>
      </w:r>
      <w:bookmarkEnd w:id="925"/>
    </w:p>
    <w:p>
      <w:pPr>
        <w:spacing w:line="440" w:lineRule="atLeast"/>
        <w:jc w:val="center"/>
        <w:rPr>
          <w:rFonts w:eastAsia="黑体"/>
          <w:sz w:val="28"/>
          <w:szCs w:val="28"/>
          <w:highlight w:val="none"/>
        </w:rPr>
      </w:pPr>
    </w:p>
    <w:p>
      <w:pPr>
        <w:spacing w:line="440" w:lineRule="atLeast"/>
        <w:ind w:firstLine="508" w:firstLineChars="212"/>
        <w:rPr>
          <w:sz w:val="24"/>
          <w:highlight w:val="none"/>
        </w:rPr>
      </w:pPr>
      <w:r>
        <w:rPr>
          <w:sz w:val="24"/>
          <w:highlight w:val="none"/>
        </w:rPr>
        <w:t>若采用现金方式递交投标保证金的，投标人应在此上传提供汇款凭证的彩色扫描件。</w:t>
      </w:r>
    </w:p>
    <w:p>
      <w:pPr>
        <w:spacing w:line="440" w:lineRule="atLeast"/>
        <w:ind w:firstLine="508" w:firstLineChars="212"/>
        <w:rPr>
          <w:rFonts w:eastAsia="黑体"/>
          <w:sz w:val="24"/>
          <w:highlight w:val="none"/>
        </w:rPr>
      </w:pPr>
    </w:p>
    <w:p>
      <w:pPr>
        <w:spacing w:line="440" w:lineRule="atLeast"/>
        <w:ind w:firstLine="508" w:firstLineChars="212"/>
        <w:rPr>
          <w:sz w:val="24"/>
          <w:highlight w:val="none"/>
        </w:rPr>
      </w:pPr>
      <w:r>
        <w:rPr>
          <w:sz w:val="24"/>
          <w:highlight w:val="none"/>
        </w:rPr>
        <w:t>联合体投标的，应符合投标人须知的规定。</w:t>
      </w:r>
    </w:p>
    <w:p>
      <w:pPr>
        <w:spacing w:line="440" w:lineRule="atLeast"/>
        <w:ind w:firstLine="508" w:firstLineChars="212"/>
        <w:rPr>
          <w:sz w:val="24"/>
          <w:highlight w:val="none"/>
        </w:rPr>
      </w:pPr>
    </w:p>
    <w:p>
      <w:pPr>
        <w:widowControl/>
        <w:jc w:val="left"/>
        <w:rPr>
          <w:sz w:val="24"/>
          <w:highlight w:val="none"/>
        </w:rPr>
      </w:pPr>
      <w:r>
        <w:rPr>
          <w:sz w:val="24"/>
          <w:highlight w:val="none"/>
        </w:rPr>
        <w:br w:type="page"/>
      </w:r>
    </w:p>
    <w:p>
      <w:pPr>
        <w:spacing w:line="440" w:lineRule="atLeast"/>
        <w:rPr>
          <w:rFonts w:eastAsia="黑体"/>
          <w:sz w:val="24"/>
          <w:highlight w:val="none"/>
        </w:rPr>
      </w:pPr>
    </w:p>
    <w:p>
      <w:pPr>
        <w:spacing w:line="440" w:lineRule="atLeast"/>
        <w:jc w:val="center"/>
        <w:rPr>
          <w:rFonts w:eastAsia="黑体"/>
          <w:sz w:val="32"/>
          <w:szCs w:val="32"/>
          <w:highlight w:val="none"/>
        </w:rPr>
      </w:pPr>
      <w:r>
        <w:rPr>
          <w:rFonts w:eastAsia="黑体"/>
          <w:sz w:val="32"/>
          <w:szCs w:val="32"/>
          <w:highlight w:val="none"/>
        </w:rPr>
        <w:t>银行查询授权书</w:t>
      </w:r>
    </w:p>
    <w:p>
      <w:pPr>
        <w:spacing w:line="440" w:lineRule="atLeast"/>
        <w:rPr>
          <w:rFonts w:eastAsia="黑体"/>
          <w:sz w:val="24"/>
          <w:highlight w:val="none"/>
        </w:rPr>
      </w:pPr>
    </w:p>
    <w:p>
      <w:pPr>
        <w:autoSpaceDE w:val="0"/>
        <w:autoSpaceDN w:val="0"/>
        <w:adjustRightInd w:val="0"/>
        <w:spacing w:line="440" w:lineRule="atLeast"/>
        <w:rPr>
          <w:rFonts w:eastAsia="黑体"/>
          <w:sz w:val="24"/>
          <w:highlight w:val="none"/>
        </w:rPr>
      </w:pPr>
    </w:p>
    <w:p>
      <w:pPr>
        <w:autoSpaceDE w:val="0"/>
        <w:autoSpaceDN w:val="0"/>
        <w:adjustRightInd w:val="0"/>
        <w:spacing w:line="440" w:lineRule="atLeast"/>
        <w:ind w:firstLine="480" w:firstLineChars="200"/>
        <w:rPr>
          <w:rFonts w:eastAsia="黑体"/>
          <w:sz w:val="24"/>
          <w:highlight w:val="none"/>
        </w:rPr>
      </w:pPr>
      <w:r>
        <w:rPr>
          <w:rFonts w:eastAsia="黑体"/>
          <w:sz w:val="24"/>
          <w:highlight w:val="none"/>
        </w:rPr>
        <w:t>本授权书申明：</w:t>
      </w:r>
      <w:r>
        <w:rPr>
          <w:rFonts w:eastAsia="黑体"/>
          <w:sz w:val="24"/>
          <w:highlight w:val="none"/>
          <w:u w:val="single"/>
        </w:rPr>
        <w:t>（投标人注册地点）（投标人名称）（法定代表人职务）（法定代表人姓名）</w:t>
      </w:r>
      <w:r>
        <w:rPr>
          <w:rFonts w:eastAsia="黑体"/>
          <w:sz w:val="24"/>
          <w:highlight w:val="none"/>
        </w:rPr>
        <w:t>经合法授权</w:t>
      </w:r>
      <w:r>
        <w:rPr>
          <w:rFonts w:eastAsia="黑体"/>
          <w:sz w:val="24"/>
          <w:highlight w:val="none"/>
          <w:u w:val="single"/>
        </w:rPr>
        <w:t xml:space="preserve">                       </w:t>
      </w:r>
      <w:r>
        <w:rPr>
          <w:rFonts w:eastAsia="黑体"/>
          <w:sz w:val="24"/>
          <w:highlight w:val="none"/>
        </w:rPr>
        <w:t>（以下称“招标人”）可向</w:t>
      </w:r>
      <w:r>
        <w:rPr>
          <w:rFonts w:eastAsia="黑体"/>
          <w:sz w:val="24"/>
          <w:highlight w:val="none"/>
          <w:u w:val="single"/>
        </w:rPr>
        <w:t>（银行名称）</w:t>
      </w:r>
      <w:r>
        <w:rPr>
          <w:rFonts w:eastAsia="黑体"/>
          <w:sz w:val="24"/>
          <w:highlight w:val="none"/>
        </w:rPr>
        <w:t>进行有关我公司投标保证金方面的查询，并由</w:t>
      </w:r>
      <w:r>
        <w:rPr>
          <w:rFonts w:eastAsia="黑体"/>
          <w:sz w:val="24"/>
          <w:highlight w:val="none"/>
          <w:u w:val="single"/>
        </w:rPr>
        <w:t>（银行名称）</w:t>
      </w:r>
      <w:r>
        <w:rPr>
          <w:rFonts w:eastAsia="黑体"/>
          <w:sz w:val="24"/>
          <w:highlight w:val="none"/>
        </w:rPr>
        <w:t>提供招标人所需的有关证明。</w:t>
      </w:r>
    </w:p>
    <w:p>
      <w:pPr>
        <w:autoSpaceDE w:val="0"/>
        <w:autoSpaceDN w:val="0"/>
        <w:adjustRightInd w:val="0"/>
        <w:spacing w:line="440" w:lineRule="atLeast"/>
        <w:rPr>
          <w:rFonts w:eastAsia="黑体"/>
          <w:sz w:val="24"/>
          <w:highlight w:val="none"/>
        </w:rPr>
      </w:pPr>
    </w:p>
    <w:p>
      <w:pPr>
        <w:autoSpaceDE w:val="0"/>
        <w:autoSpaceDN w:val="0"/>
        <w:adjustRightInd w:val="0"/>
        <w:spacing w:line="440" w:lineRule="atLeast"/>
        <w:rPr>
          <w:rFonts w:eastAsia="黑体"/>
          <w:sz w:val="24"/>
          <w:highlight w:val="none"/>
        </w:rPr>
      </w:pPr>
      <w:r>
        <w:rPr>
          <w:rFonts w:eastAsia="黑体"/>
          <w:sz w:val="24"/>
          <w:highlight w:val="none"/>
        </w:rPr>
        <w:t>各方在此分别签字盖章，以资证明。</w:t>
      </w:r>
    </w:p>
    <w:p>
      <w:pPr>
        <w:autoSpaceDE w:val="0"/>
        <w:autoSpaceDN w:val="0"/>
        <w:adjustRightInd w:val="0"/>
        <w:spacing w:line="440" w:lineRule="atLeast"/>
        <w:rPr>
          <w:rFonts w:eastAsia="黑体"/>
          <w:sz w:val="24"/>
          <w:highlight w:val="none"/>
        </w:rPr>
      </w:pPr>
      <w:r>
        <w:rPr>
          <w:rFonts w:eastAsia="黑体"/>
          <w:sz w:val="24"/>
          <w:highlight w:val="none"/>
        </w:rPr>
        <w:t>授权人（投标人）：</w:t>
      </w:r>
      <w:r>
        <w:rPr>
          <w:rFonts w:eastAsia="黑体"/>
          <w:sz w:val="24"/>
          <w:highlight w:val="none"/>
          <w:u w:val="single"/>
        </w:rPr>
        <w:t>（法定代表人签署全名、盖单位章）</w:t>
      </w:r>
    </w:p>
    <w:p>
      <w:pPr>
        <w:autoSpaceDE w:val="0"/>
        <w:autoSpaceDN w:val="0"/>
        <w:adjustRightInd w:val="0"/>
        <w:spacing w:line="440" w:lineRule="atLeast"/>
        <w:rPr>
          <w:rFonts w:eastAsia="黑体"/>
          <w:sz w:val="24"/>
          <w:highlight w:val="none"/>
        </w:rPr>
      </w:pPr>
      <w:r>
        <w:rPr>
          <w:rFonts w:eastAsia="黑体"/>
          <w:sz w:val="24"/>
          <w:highlight w:val="none"/>
        </w:rPr>
        <w:t>银            行：</w:t>
      </w:r>
      <w:r>
        <w:rPr>
          <w:rFonts w:eastAsia="黑体"/>
          <w:sz w:val="24"/>
          <w:highlight w:val="none"/>
          <w:u w:val="single"/>
        </w:rPr>
        <w:t>（全称、单位章）</w:t>
      </w:r>
    </w:p>
    <w:p>
      <w:pPr>
        <w:autoSpaceDE w:val="0"/>
        <w:autoSpaceDN w:val="0"/>
        <w:adjustRightInd w:val="0"/>
        <w:spacing w:line="440" w:lineRule="atLeast"/>
        <w:rPr>
          <w:rFonts w:eastAsia="黑体"/>
          <w:sz w:val="24"/>
          <w:highlight w:val="none"/>
          <w:u w:val="single"/>
        </w:rPr>
      </w:pPr>
      <w:r>
        <w:rPr>
          <w:rFonts w:eastAsia="黑体"/>
          <w:sz w:val="24"/>
          <w:highlight w:val="none"/>
        </w:rPr>
        <w:t>银  行 负 责  人：</w:t>
      </w:r>
      <w:r>
        <w:rPr>
          <w:rFonts w:eastAsia="黑体"/>
          <w:sz w:val="24"/>
          <w:highlight w:val="none"/>
          <w:u w:val="single"/>
        </w:rPr>
        <w:t>（签署全名）</w:t>
      </w:r>
    </w:p>
    <w:p>
      <w:pPr>
        <w:autoSpaceDE w:val="0"/>
        <w:autoSpaceDN w:val="0"/>
        <w:adjustRightInd w:val="0"/>
        <w:spacing w:line="440" w:lineRule="atLeast"/>
        <w:rPr>
          <w:rFonts w:eastAsia="黑体"/>
          <w:szCs w:val="21"/>
          <w:highlight w:val="none"/>
        </w:rPr>
      </w:pPr>
      <w:r>
        <w:rPr>
          <w:rFonts w:eastAsia="黑体"/>
          <w:sz w:val="24"/>
          <w:highlight w:val="none"/>
        </w:rPr>
        <w:t>银   行  地   址：</w:t>
      </w:r>
      <w:r>
        <w:rPr>
          <w:rFonts w:eastAsia="黑体"/>
          <w:sz w:val="24"/>
          <w:highlight w:val="none"/>
          <w:u w:val="single"/>
        </w:rPr>
        <w:t xml:space="preserve">             </w:t>
      </w:r>
    </w:p>
    <w:p>
      <w:pPr>
        <w:autoSpaceDE w:val="0"/>
        <w:autoSpaceDN w:val="0"/>
        <w:adjustRightInd w:val="0"/>
        <w:spacing w:line="440" w:lineRule="atLeast"/>
        <w:rPr>
          <w:rFonts w:eastAsia="黑体"/>
          <w:szCs w:val="21"/>
          <w:highlight w:val="none"/>
        </w:rPr>
      </w:pPr>
      <w:r>
        <w:rPr>
          <w:rFonts w:eastAsia="黑体"/>
          <w:sz w:val="24"/>
          <w:highlight w:val="none"/>
        </w:rPr>
        <w:t>银   行  电   话：</w:t>
      </w:r>
      <w:r>
        <w:rPr>
          <w:rFonts w:eastAsia="黑体"/>
          <w:sz w:val="24"/>
          <w:highlight w:val="none"/>
          <w:u w:val="single"/>
        </w:rPr>
        <w:t xml:space="preserve">             </w:t>
      </w:r>
    </w:p>
    <w:p>
      <w:pPr>
        <w:autoSpaceDE w:val="0"/>
        <w:autoSpaceDN w:val="0"/>
        <w:adjustRightInd w:val="0"/>
        <w:spacing w:line="440" w:lineRule="atLeast"/>
        <w:rPr>
          <w:rFonts w:eastAsia="黑体"/>
          <w:szCs w:val="21"/>
          <w:highlight w:val="none"/>
        </w:rPr>
      </w:pPr>
      <w:r>
        <w:rPr>
          <w:rFonts w:eastAsia="黑体"/>
          <w:sz w:val="24"/>
          <w:highlight w:val="none"/>
        </w:rPr>
        <w:t>银   行  传   真：</w:t>
      </w:r>
      <w:r>
        <w:rPr>
          <w:rFonts w:eastAsia="黑体"/>
          <w:sz w:val="24"/>
          <w:highlight w:val="none"/>
          <w:u w:val="single"/>
        </w:rPr>
        <w:t xml:space="preserve">             </w:t>
      </w:r>
    </w:p>
    <w:p>
      <w:pPr>
        <w:autoSpaceDE w:val="0"/>
        <w:autoSpaceDN w:val="0"/>
        <w:adjustRightInd w:val="0"/>
        <w:spacing w:line="440" w:lineRule="atLeast"/>
        <w:rPr>
          <w:rFonts w:eastAsia="黑体"/>
          <w:sz w:val="24"/>
          <w:highlight w:val="none"/>
          <w:u w:val="single"/>
        </w:rPr>
      </w:pPr>
      <w:r>
        <w:rPr>
          <w:rFonts w:eastAsia="黑体"/>
          <w:sz w:val="24"/>
          <w:highlight w:val="none"/>
        </w:rPr>
        <w:t>银  行 联 系  人：</w:t>
      </w:r>
      <w:r>
        <w:rPr>
          <w:rFonts w:eastAsia="黑体"/>
          <w:sz w:val="24"/>
          <w:highlight w:val="none"/>
          <w:u w:val="single"/>
        </w:rPr>
        <w:t xml:space="preserve">           </w:t>
      </w:r>
    </w:p>
    <w:p>
      <w:pPr>
        <w:autoSpaceDE w:val="0"/>
        <w:autoSpaceDN w:val="0"/>
        <w:adjustRightInd w:val="0"/>
        <w:spacing w:line="440" w:lineRule="atLeast"/>
        <w:jc w:val="right"/>
        <w:rPr>
          <w:rFonts w:eastAsia="黑体"/>
          <w:sz w:val="24"/>
          <w:highlight w:val="none"/>
          <w:u w:val="single"/>
        </w:rPr>
      </w:pPr>
      <w:r>
        <w:rPr>
          <w:rFonts w:eastAsia="黑体"/>
          <w:sz w:val="24"/>
          <w:highlight w:val="none"/>
          <w:u w:val="single"/>
        </w:rPr>
        <w:t xml:space="preserve">    </w:t>
      </w:r>
      <w:r>
        <w:rPr>
          <w:rFonts w:eastAsia="黑体"/>
          <w:sz w:val="24"/>
          <w:highlight w:val="none"/>
        </w:rPr>
        <w:t>年</w:t>
      </w:r>
      <w:r>
        <w:rPr>
          <w:rFonts w:eastAsia="黑体"/>
          <w:sz w:val="24"/>
          <w:highlight w:val="none"/>
          <w:u w:val="single"/>
        </w:rPr>
        <w:t xml:space="preserve">   </w:t>
      </w:r>
      <w:r>
        <w:rPr>
          <w:rFonts w:eastAsia="黑体"/>
          <w:sz w:val="24"/>
          <w:highlight w:val="none"/>
        </w:rPr>
        <w:t>月</w:t>
      </w:r>
      <w:r>
        <w:rPr>
          <w:rFonts w:eastAsia="黑体"/>
          <w:sz w:val="24"/>
          <w:highlight w:val="none"/>
          <w:u w:val="single"/>
        </w:rPr>
        <w:t xml:space="preserve">   </w:t>
      </w:r>
      <w:r>
        <w:rPr>
          <w:rFonts w:eastAsia="黑体"/>
          <w:sz w:val="24"/>
          <w:highlight w:val="none"/>
        </w:rPr>
        <w:t>日</w:t>
      </w:r>
    </w:p>
    <w:p>
      <w:pPr>
        <w:autoSpaceDE w:val="0"/>
        <w:autoSpaceDN w:val="0"/>
        <w:adjustRightInd w:val="0"/>
        <w:spacing w:line="440" w:lineRule="atLeast"/>
        <w:rPr>
          <w:rFonts w:eastAsia="黑体"/>
          <w:szCs w:val="21"/>
          <w:highlight w:val="none"/>
        </w:rPr>
      </w:pPr>
    </w:p>
    <w:p>
      <w:pPr>
        <w:snapToGrid w:val="0"/>
        <w:spacing w:line="440" w:lineRule="atLeast"/>
        <w:jc w:val="left"/>
        <w:rPr>
          <w:rFonts w:eastAsia="黑体"/>
          <w:szCs w:val="21"/>
          <w:highlight w:val="none"/>
        </w:rPr>
      </w:pPr>
      <w:r>
        <w:rPr>
          <w:rFonts w:eastAsia="黑体"/>
          <w:szCs w:val="21"/>
          <w:highlight w:val="none"/>
        </w:rPr>
        <w:t>注：1、此银行查询授权书由投标人开立基本账户的银行出具。</w:t>
      </w:r>
    </w:p>
    <w:p>
      <w:pPr>
        <w:snapToGrid w:val="0"/>
        <w:spacing w:line="440" w:lineRule="atLeast"/>
        <w:ind w:firstLine="420"/>
        <w:jc w:val="left"/>
        <w:rPr>
          <w:rFonts w:eastAsia="黑体"/>
          <w:szCs w:val="21"/>
          <w:highlight w:val="none"/>
        </w:rPr>
      </w:pPr>
      <w:r>
        <w:rPr>
          <w:rFonts w:eastAsia="黑体"/>
          <w:szCs w:val="21"/>
          <w:highlight w:val="none"/>
        </w:rPr>
        <w:t>2、银行负责人应亲笔签名，不得使用印章、签名章或其他电子制版签名，否则，视为无效。</w:t>
      </w:r>
    </w:p>
    <w:p>
      <w:pPr>
        <w:spacing w:line="440" w:lineRule="atLeast"/>
        <w:rPr>
          <w:sz w:val="24"/>
          <w:highlight w:val="none"/>
        </w:rPr>
      </w:pPr>
    </w:p>
    <w:p>
      <w:pPr>
        <w:spacing w:line="440" w:lineRule="atLeast"/>
        <w:rPr>
          <w:sz w:val="24"/>
          <w:highlight w:val="none"/>
        </w:rPr>
      </w:pPr>
    </w:p>
    <w:p>
      <w:pPr>
        <w:spacing w:line="440" w:lineRule="atLeast"/>
        <w:rPr>
          <w:sz w:val="24"/>
          <w:highlight w:val="none"/>
        </w:rPr>
      </w:pPr>
    </w:p>
    <w:p>
      <w:pPr>
        <w:spacing w:line="440" w:lineRule="atLeast"/>
        <w:rPr>
          <w:sz w:val="24"/>
          <w:highlight w:val="none"/>
        </w:rPr>
      </w:pPr>
    </w:p>
    <w:p>
      <w:pPr>
        <w:spacing w:line="380" w:lineRule="atLeast"/>
        <w:jc w:val="center"/>
        <w:rPr>
          <w:rFonts w:eastAsia="黑体"/>
          <w:sz w:val="28"/>
          <w:szCs w:val="28"/>
          <w:highlight w:val="none"/>
        </w:rPr>
      </w:pPr>
      <w:r>
        <w:rPr>
          <w:sz w:val="24"/>
          <w:highlight w:val="none"/>
        </w:rPr>
        <w:br w:type="page"/>
      </w:r>
      <w:bookmarkStart w:id="926" w:name="_Toc22953"/>
      <w:bookmarkStart w:id="927" w:name="_Toc234833276"/>
      <w:bookmarkStart w:id="928" w:name="_Toc509993941"/>
      <w:r>
        <w:rPr>
          <w:rFonts w:eastAsia="黑体"/>
          <w:sz w:val="28"/>
          <w:szCs w:val="28"/>
          <w:highlight w:val="none"/>
        </w:rPr>
        <w:t>五、拟分包项目情况表</w:t>
      </w:r>
      <w:bookmarkEnd w:id="926"/>
      <w:bookmarkEnd w:id="927"/>
      <w:bookmarkEnd w:id="928"/>
    </w:p>
    <w:p>
      <w:pPr>
        <w:spacing w:line="440" w:lineRule="exact"/>
        <w:rPr>
          <w:rFonts w:eastAsia="黑体"/>
          <w:sz w:val="20"/>
          <w:highlight w:val="none"/>
        </w:rPr>
      </w:pPr>
      <w:r>
        <w:rPr>
          <w:rFonts w:eastAsia="黑体"/>
          <w:sz w:val="20"/>
          <w:highlight w:val="none"/>
        </w:rPr>
        <w:t xml:space="preserve">                          </w:t>
      </w:r>
    </w:p>
    <w:tbl>
      <w:tblPr>
        <w:tblStyle w:val="3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6"/>
        <w:gridCol w:w="1863"/>
        <w:gridCol w:w="1579"/>
        <w:gridCol w:w="2581"/>
        <w:gridCol w:w="18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拟分包的工程项目</w:t>
            </w: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主要工程内容</w:t>
            </w:r>
          </w:p>
        </w:tc>
        <w:tc>
          <w:tcPr>
            <w:tcW w:w="824"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rFonts w:hint="eastAsia"/>
                <w:szCs w:val="21"/>
                <w:highlight w:val="none"/>
              </w:rPr>
              <w:t>服务</w:t>
            </w:r>
            <w:r>
              <w:rPr>
                <w:szCs w:val="21"/>
                <w:highlight w:val="none"/>
              </w:rPr>
              <w:t>任务</w:t>
            </w: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分包工作量占总工作量的比例</w:t>
            </w:r>
            <w:r>
              <w:rPr>
                <w:sz w:val="24"/>
                <w:highlight w:val="none"/>
              </w:rPr>
              <w:t>（%）</w:t>
            </w:r>
          </w:p>
        </w:tc>
        <w:tc>
          <w:tcPr>
            <w:tcW w:w="974"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4" w:type="pct"/>
            <w:vMerge w:val="restart"/>
            <w:tcBorders>
              <w:top w:val="single" w:color="auto" w:sz="4" w:space="0"/>
              <w:left w:val="single" w:color="auto" w:sz="4" w:space="0"/>
              <w:bottom w:val="single" w:color="auto" w:sz="4" w:space="0"/>
              <w:right w:val="single" w:color="auto" w:sz="4" w:space="0"/>
            </w:tcBorders>
            <w:vAlign w:val="center"/>
          </w:tcPr>
          <w:p>
            <w:pPr>
              <w:snapToGrid w:val="0"/>
              <w:spacing w:line="400" w:lineRule="atLeast"/>
              <w:rPr>
                <w:szCs w:val="21"/>
                <w:highlight w:val="none"/>
              </w:rPr>
            </w:pPr>
            <w:r>
              <w:rPr>
                <w:szCs w:val="21"/>
                <w:highlight w:val="none"/>
              </w:rPr>
              <w:t>若无分包计划，则投标人应在本表填写“无”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881"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973"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824" w:type="pct"/>
            <w:tcBorders>
              <w:top w:val="single" w:color="auto" w:sz="4" w:space="0"/>
              <w:left w:val="single" w:color="auto" w:sz="4" w:space="0"/>
              <w:bottom w:val="single" w:color="auto" w:sz="4" w:space="0"/>
              <w:right w:val="single" w:color="auto" w:sz="4" w:space="0"/>
            </w:tcBorders>
          </w:tcPr>
          <w:p>
            <w:pPr>
              <w:spacing w:line="440" w:lineRule="exact"/>
              <w:jc w:val="center"/>
              <w:rPr>
                <w:szCs w:val="21"/>
                <w:highlight w:val="none"/>
              </w:rPr>
            </w:pP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2679" w:type="pct"/>
            <w:gridSpan w:val="3"/>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r>
              <w:rPr>
                <w:szCs w:val="21"/>
                <w:highlight w:val="none"/>
              </w:rPr>
              <w:t>拟分包工作量合计比例</w:t>
            </w:r>
            <w:r>
              <w:rPr>
                <w:sz w:val="24"/>
                <w:highlight w:val="none"/>
              </w:rPr>
              <w:t>（%）</w:t>
            </w:r>
          </w:p>
        </w:tc>
        <w:tc>
          <w:tcPr>
            <w:tcW w:w="1348"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rPr>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pPr>
              <w:widowControl/>
              <w:jc w:val="left"/>
              <w:rPr>
                <w:szCs w:val="21"/>
                <w:highlight w:val="none"/>
              </w:rPr>
            </w:pPr>
          </w:p>
        </w:tc>
      </w:tr>
    </w:tbl>
    <w:p>
      <w:pPr>
        <w:spacing w:line="440" w:lineRule="atLeast"/>
        <w:rPr>
          <w:rFonts w:eastAsia="黑体"/>
          <w:b/>
          <w:sz w:val="28"/>
          <w:szCs w:val="28"/>
          <w:highlight w:val="none"/>
        </w:rPr>
      </w:pPr>
      <w:r>
        <w:rPr>
          <w:rFonts w:eastAsia="黑体"/>
          <w:sz w:val="27"/>
          <w:szCs w:val="27"/>
          <w:highlight w:val="none"/>
        </w:rPr>
        <w:br w:type="page"/>
      </w:r>
      <w:r>
        <w:rPr>
          <w:rFonts w:eastAsia="黑体"/>
          <w:b/>
          <w:sz w:val="28"/>
          <w:szCs w:val="28"/>
          <w:highlight w:val="none"/>
        </w:rPr>
        <w:t>五、资格审查资料（适用于已进行资格预审的）</w:t>
      </w:r>
    </w:p>
    <w:p>
      <w:pPr>
        <w:snapToGrid w:val="0"/>
        <w:spacing w:line="440" w:lineRule="atLeast"/>
        <w:ind w:firstLine="540" w:firstLineChars="225"/>
        <w:rPr>
          <w:sz w:val="24"/>
          <w:highlight w:val="none"/>
        </w:rPr>
      </w:pPr>
    </w:p>
    <w:p>
      <w:pPr>
        <w:spacing w:line="440" w:lineRule="atLeast"/>
        <w:ind w:firstLine="480" w:firstLineChars="200"/>
        <w:rPr>
          <w:sz w:val="24"/>
          <w:highlight w:val="none"/>
        </w:rPr>
      </w:pPr>
      <w:r>
        <w:rPr>
          <w:sz w:val="24"/>
          <w:highlight w:val="none"/>
        </w:rPr>
        <w:t>投标人应按通过资格预审后的新情况及第二章“投标人须知”第3.5.1项的规定对资格预审申请文件进行更新或补充，表格格式同资格预审文件规定。</w:t>
      </w:r>
    </w:p>
    <w:p>
      <w:pPr>
        <w:spacing w:line="440" w:lineRule="atLeast"/>
        <w:jc w:val="center"/>
        <w:rPr>
          <w:rFonts w:eastAsia="黑体"/>
          <w:sz w:val="28"/>
          <w:szCs w:val="28"/>
          <w:highlight w:val="none"/>
        </w:rPr>
      </w:pPr>
      <w:r>
        <w:rPr>
          <w:sz w:val="24"/>
          <w:highlight w:val="none"/>
        </w:rPr>
        <w:br w:type="page"/>
      </w:r>
      <w:bookmarkStart w:id="929" w:name="_Toc22417"/>
      <w:r>
        <w:rPr>
          <w:rFonts w:eastAsia="黑体"/>
          <w:sz w:val="28"/>
          <w:szCs w:val="28"/>
          <w:highlight w:val="none"/>
        </w:rPr>
        <w:t>五、资格审查资料（适用于未进行资格预审的）</w:t>
      </w:r>
      <w:bookmarkEnd w:id="929"/>
    </w:p>
    <w:p>
      <w:pPr>
        <w:spacing w:line="440" w:lineRule="atLeast"/>
        <w:jc w:val="center"/>
        <w:rPr>
          <w:rFonts w:eastAsia="黑体"/>
          <w:sz w:val="28"/>
          <w:szCs w:val="28"/>
          <w:highlight w:val="none"/>
        </w:rPr>
      </w:pPr>
    </w:p>
    <w:p>
      <w:pPr>
        <w:spacing w:line="440" w:lineRule="atLeast"/>
        <w:jc w:val="center"/>
        <w:rPr>
          <w:rFonts w:eastAsia="黑体"/>
          <w:sz w:val="24"/>
          <w:szCs w:val="24"/>
          <w:highlight w:val="none"/>
        </w:rPr>
      </w:pPr>
      <w:bookmarkStart w:id="930" w:name="_Toc6750"/>
      <w:r>
        <w:rPr>
          <w:rFonts w:eastAsia="黑体"/>
          <w:sz w:val="24"/>
          <w:szCs w:val="24"/>
          <w:highlight w:val="none"/>
        </w:rPr>
        <w:t>（一）投标人基本情况表</w:t>
      </w:r>
      <w:bookmarkEnd w:id="930"/>
    </w:p>
    <w:p>
      <w:pPr>
        <w:spacing w:line="440" w:lineRule="atLeast"/>
        <w:jc w:val="center"/>
        <w:rPr>
          <w:rFonts w:eastAsia="黑体"/>
          <w:sz w:val="23"/>
          <w:szCs w:val="23"/>
          <w:highlight w:val="none"/>
        </w:rPr>
      </w:pPr>
    </w:p>
    <w:tbl>
      <w:tblPr>
        <w:tblStyle w:val="38"/>
        <w:tblW w:w="4999"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2201"/>
        <w:gridCol w:w="967"/>
        <w:gridCol w:w="1105"/>
        <w:gridCol w:w="1386"/>
        <w:gridCol w:w="444"/>
        <w:gridCol w:w="942"/>
        <w:gridCol w:w="890"/>
        <w:gridCol w:w="306"/>
        <w:gridCol w:w="132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r>
              <w:rPr>
                <w:highlight w:val="none"/>
              </w:rPr>
              <w:t>投标人名称</w:t>
            </w:r>
          </w:p>
        </w:tc>
        <w:tc>
          <w:tcPr>
            <w:tcW w:w="3849" w:type="pct"/>
            <w:gridSpan w:val="8"/>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r>
              <w:rPr>
                <w:highlight w:val="none"/>
              </w:rPr>
              <w:t>注册地址</w:t>
            </w:r>
          </w:p>
        </w:tc>
        <w:tc>
          <w:tcPr>
            <w:tcW w:w="1806"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724"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邮政编码</w:t>
            </w:r>
          </w:p>
        </w:tc>
        <w:tc>
          <w:tcPr>
            <w:tcW w:w="1318"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vMerge w:val="restar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r>
              <w:rPr>
                <w:highlight w:val="none"/>
              </w:rPr>
              <w:t>联系方式</w:t>
            </w:r>
          </w:p>
        </w:tc>
        <w:tc>
          <w:tcPr>
            <w:tcW w:w="505"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联系人</w:t>
            </w:r>
          </w:p>
        </w:tc>
        <w:tc>
          <w:tcPr>
            <w:tcW w:w="1301"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724"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电 话</w:t>
            </w:r>
          </w:p>
        </w:tc>
        <w:tc>
          <w:tcPr>
            <w:tcW w:w="1318"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vMerge w:val="continue"/>
            <w:tcBorders>
              <w:top w:val="single" w:color="auto" w:sz="4" w:space="0"/>
              <w:left w:val="single" w:color="auto" w:sz="4" w:space="0"/>
              <w:bottom w:val="single" w:color="auto" w:sz="4" w:space="0"/>
              <w:right w:val="single" w:color="auto" w:sz="4" w:space="0"/>
            </w:tcBorders>
            <w:vAlign w:val="center"/>
          </w:tcPr>
          <w:p>
            <w:pPr>
              <w:spacing w:line="440" w:lineRule="atLeast"/>
              <w:jc w:val="center"/>
              <w:rPr>
                <w:highlight w:val="none"/>
              </w:rPr>
            </w:pPr>
          </w:p>
        </w:tc>
        <w:tc>
          <w:tcPr>
            <w:tcW w:w="505"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传  真</w:t>
            </w:r>
          </w:p>
        </w:tc>
        <w:tc>
          <w:tcPr>
            <w:tcW w:w="1301"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724"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szCs w:val="21"/>
                <w:highlight w:val="none"/>
              </w:rPr>
              <w:t>电子邮件</w:t>
            </w:r>
          </w:p>
        </w:tc>
        <w:tc>
          <w:tcPr>
            <w:tcW w:w="1318"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法定代表人</w:t>
            </w:r>
          </w:p>
        </w:tc>
        <w:tc>
          <w:tcPr>
            <w:tcW w:w="505"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姓名</w:t>
            </w:r>
          </w:p>
        </w:tc>
        <w:tc>
          <w:tcPr>
            <w:tcW w:w="577"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724"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技术职称</w:t>
            </w:r>
          </w:p>
        </w:tc>
        <w:tc>
          <w:tcPr>
            <w:tcW w:w="724"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625"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电话</w:t>
            </w:r>
          </w:p>
        </w:tc>
        <w:tc>
          <w:tcPr>
            <w:tcW w:w="693"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r>
              <w:rPr>
                <w:szCs w:val="21"/>
                <w:highlight w:val="none"/>
              </w:rPr>
              <w:t>技术负责人</w:t>
            </w:r>
          </w:p>
        </w:tc>
        <w:tc>
          <w:tcPr>
            <w:tcW w:w="505"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姓名</w:t>
            </w:r>
          </w:p>
        </w:tc>
        <w:tc>
          <w:tcPr>
            <w:tcW w:w="577"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724"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技术职称</w:t>
            </w:r>
          </w:p>
        </w:tc>
        <w:tc>
          <w:tcPr>
            <w:tcW w:w="724"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625"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电话</w:t>
            </w:r>
          </w:p>
        </w:tc>
        <w:tc>
          <w:tcPr>
            <w:tcW w:w="693"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企业资质证书</w:t>
            </w:r>
          </w:p>
        </w:tc>
        <w:tc>
          <w:tcPr>
            <w:tcW w:w="3849" w:type="pct"/>
            <w:gridSpan w:val="8"/>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ind w:firstLine="105" w:firstLineChars="50"/>
              <w:jc w:val="center"/>
              <w:rPr>
                <w:highlight w:val="none"/>
              </w:rPr>
            </w:pPr>
            <w:r>
              <w:rPr>
                <w:highlight w:val="none"/>
              </w:rPr>
              <w:t>类型：                    等级：      证书号：</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营业执照号</w:t>
            </w:r>
          </w:p>
        </w:tc>
        <w:tc>
          <w:tcPr>
            <w:tcW w:w="1806"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2042" w:type="pct"/>
            <w:gridSpan w:val="5"/>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员工总人数：</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注册资本</w:t>
            </w:r>
          </w:p>
        </w:tc>
        <w:tc>
          <w:tcPr>
            <w:tcW w:w="1806"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232" w:type="pct"/>
            <w:vMerge w:val="restart"/>
            <w:tcBorders>
              <w:top w:val="single" w:color="auto" w:sz="4" w:space="0"/>
              <w:left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其中</w:t>
            </w:r>
          </w:p>
        </w:tc>
        <w:tc>
          <w:tcPr>
            <w:tcW w:w="957"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高级职称人员</w:t>
            </w:r>
          </w:p>
        </w:tc>
        <w:tc>
          <w:tcPr>
            <w:tcW w:w="853"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成立日期</w:t>
            </w:r>
          </w:p>
        </w:tc>
        <w:tc>
          <w:tcPr>
            <w:tcW w:w="1806"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232" w:type="pct"/>
            <w:vMerge w:val="continue"/>
            <w:tcBorders>
              <w:left w:val="single" w:color="auto" w:sz="4" w:space="0"/>
              <w:right w:val="single" w:color="auto" w:sz="4" w:space="0"/>
            </w:tcBorders>
            <w:vAlign w:val="center"/>
          </w:tcPr>
          <w:p>
            <w:pPr>
              <w:spacing w:line="440" w:lineRule="atLeast"/>
              <w:jc w:val="center"/>
              <w:rPr>
                <w:highlight w:val="none"/>
              </w:rPr>
            </w:pPr>
          </w:p>
        </w:tc>
        <w:tc>
          <w:tcPr>
            <w:tcW w:w="957"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中级职称人员</w:t>
            </w:r>
          </w:p>
        </w:tc>
        <w:tc>
          <w:tcPr>
            <w:tcW w:w="853"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基本账户开户银行</w:t>
            </w:r>
          </w:p>
        </w:tc>
        <w:tc>
          <w:tcPr>
            <w:tcW w:w="1806"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232" w:type="pct"/>
            <w:vMerge w:val="continue"/>
            <w:tcBorders>
              <w:left w:val="single" w:color="auto" w:sz="4" w:space="0"/>
              <w:right w:val="single" w:color="auto" w:sz="4" w:space="0"/>
            </w:tcBorders>
            <w:vAlign w:val="center"/>
          </w:tcPr>
          <w:p>
            <w:pPr>
              <w:spacing w:line="440" w:lineRule="atLeast"/>
              <w:jc w:val="center"/>
              <w:rPr>
                <w:highlight w:val="none"/>
              </w:rPr>
            </w:pPr>
          </w:p>
        </w:tc>
        <w:tc>
          <w:tcPr>
            <w:tcW w:w="957"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技术人员数量</w:t>
            </w:r>
          </w:p>
        </w:tc>
        <w:tc>
          <w:tcPr>
            <w:tcW w:w="853"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基本账户银行账号</w:t>
            </w:r>
          </w:p>
        </w:tc>
        <w:tc>
          <w:tcPr>
            <w:tcW w:w="1806" w:type="pct"/>
            <w:gridSpan w:val="3"/>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c>
          <w:tcPr>
            <w:tcW w:w="232" w:type="pct"/>
            <w:vMerge w:val="continue"/>
            <w:tcBorders>
              <w:left w:val="single" w:color="auto" w:sz="4" w:space="0"/>
              <w:right w:val="single" w:color="auto" w:sz="4" w:space="0"/>
            </w:tcBorders>
            <w:vAlign w:val="center"/>
          </w:tcPr>
          <w:p>
            <w:pPr>
              <w:spacing w:line="440" w:lineRule="atLeast"/>
              <w:jc w:val="center"/>
              <w:rPr>
                <w:highlight w:val="none"/>
              </w:rPr>
            </w:pPr>
          </w:p>
        </w:tc>
        <w:tc>
          <w:tcPr>
            <w:tcW w:w="957" w:type="pct"/>
            <w:gridSpan w:val="2"/>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szCs w:val="21"/>
                <w:highlight w:val="none"/>
              </w:rPr>
              <w:t>各类注册人员</w:t>
            </w:r>
          </w:p>
        </w:tc>
        <w:tc>
          <w:tcPr>
            <w:tcW w:w="853" w:type="pct"/>
            <w:gridSpan w:val="2"/>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right w:val="single" w:color="auto" w:sz="4" w:space="0"/>
            </w:tcBorders>
            <w:vAlign w:val="center"/>
          </w:tcPr>
          <w:p>
            <w:pPr>
              <w:topLinePunct/>
              <w:spacing w:before="100" w:beforeAutospacing="1" w:after="100" w:afterAutospacing="1" w:line="440" w:lineRule="atLeast"/>
              <w:ind w:firstLine="210" w:firstLineChars="100"/>
              <w:jc w:val="center"/>
              <w:rPr>
                <w:highlight w:val="none"/>
              </w:rPr>
            </w:pPr>
            <w:r>
              <w:rPr>
                <w:highlight w:val="none"/>
              </w:rPr>
              <w:t>经营范围</w:t>
            </w:r>
          </w:p>
        </w:tc>
        <w:tc>
          <w:tcPr>
            <w:tcW w:w="3849" w:type="pct"/>
            <w:gridSpan w:val="8"/>
            <w:tcBorders>
              <w:top w:val="single" w:color="auto" w:sz="4" w:space="0"/>
              <w:left w:val="single" w:color="auto" w:sz="4" w:space="0"/>
              <w:right w:val="single" w:color="auto" w:sz="4" w:space="0"/>
            </w:tcBorders>
            <w:vAlign w:val="center"/>
          </w:tcPr>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 w:hRule="atLeast"/>
          <w:jc w:val="center"/>
        </w:trPr>
        <w:tc>
          <w:tcPr>
            <w:tcW w:w="1150" w:type="pct"/>
            <w:tcBorders>
              <w:top w:val="single" w:color="auto" w:sz="4" w:space="0"/>
              <w:left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szCs w:val="21"/>
                <w:highlight w:val="none"/>
              </w:rPr>
              <w:t>投标人关联企业情况</w:t>
            </w:r>
          </w:p>
        </w:tc>
        <w:tc>
          <w:tcPr>
            <w:tcW w:w="3849" w:type="pct"/>
            <w:gridSpan w:val="8"/>
            <w:tcBorders>
              <w:top w:val="single" w:color="auto" w:sz="4" w:space="0"/>
              <w:left w:val="single" w:color="auto" w:sz="4" w:space="0"/>
              <w:right w:val="single" w:color="auto" w:sz="4" w:space="0"/>
            </w:tcBorders>
            <w:vAlign w:val="center"/>
          </w:tcPr>
          <w:p>
            <w:pPr>
              <w:topLinePunct/>
              <w:spacing w:line="440" w:lineRule="atLeast"/>
              <w:rPr>
                <w:szCs w:val="21"/>
                <w:highlight w:val="none"/>
              </w:rPr>
            </w:pPr>
            <w:r>
              <w:rPr>
                <w:szCs w:val="21"/>
                <w:highlight w:val="none"/>
              </w:rPr>
              <w:t>投标人应提供关联企业情况，包括：</w:t>
            </w:r>
          </w:p>
          <w:p>
            <w:pPr>
              <w:topLinePunct/>
              <w:spacing w:line="440" w:lineRule="atLeast"/>
              <w:rPr>
                <w:szCs w:val="21"/>
                <w:highlight w:val="none"/>
              </w:rPr>
            </w:pPr>
            <w:r>
              <w:rPr>
                <w:szCs w:val="21"/>
                <w:highlight w:val="none"/>
              </w:rPr>
              <w:t>（1）投标人的所有股东名称及相应股权（出资额）比例；如投标人为上市公司，投标人应提供股权占公司股份总数</w:t>
            </w:r>
            <w:r>
              <w:rPr>
                <w:szCs w:val="21"/>
                <w:highlight w:val="none"/>
                <w:u w:val="single"/>
              </w:rPr>
              <w:t xml:space="preserve">   </w:t>
            </w:r>
            <w:r>
              <w:rPr>
                <w:szCs w:val="21"/>
                <w:highlight w:val="none"/>
              </w:rPr>
              <w:t>%以上的所有股东名称及相应股权比例；</w:t>
            </w:r>
          </w:p>
          <w:p>
            <w:pPr>
              <w:topLinePunct/>
              <w:spacing w:line="440" w:lineRule="atLeast"/>
              <w:rPr>
                <w:szCs w:val="21"/>
                <w:highlight w:val="none"/>
              </w:rPr>
            </w:pPr>
            <w:r>
              <w:rPr>
                <w:szCs w:val="21"/>
                <w:highlight w:val="none"/>
              </w:rPr>
              <w:t>（2）投标人投资（控股）或管理的下属企业名称、持有股权（出资额）比例；</w:t>
            </w:r>
          </w:p>
          <w:p>
            <w:pPr>
              <w:topLinePunct/>
              <w:spacing w:line="440" w:lineRule="atLeast"/>
              <w:rPr>
                <w:szCs w:val="21"/>
                <w:highlight w:val="none"/>
              </w:rPr>
            </w:pPr>
            <w:r>
              <w:rPr>
                <w:szCs w:val="21"/>
                <w:highlight w:val="none"/>
              </w:rPr>
              <w:t>（3）与投标人</w:t>
            </w:r>
            <w:r>
              <w:rPr>
                <w:highlight w:val="none"/>
              </w:rPr>
              <w:t>单位负责人（即法定代表人）为同一人的其他单位名称</w:t>
            </w:r>
          </w:p>
          <w:p>
            <w:pPr>
              <w:topLinePunct/>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88" w:hRule="atLeast"/>
          <w:jc w:val="center"/>
        </w:trPr>
        <w:tc>
          <w:tcPr>
            <w:tcW w:w="1150" w:type="pct"/>
            <w:tcBorders>
              <w:top w:val="single" w:color="auto" w:sz="4" w:space="0"/>
              <w:left w:val="single" w:color="auto" w:sz="4" w:space="0"/>
              <w:bottom w:val="single" w:color="auto" w:sz="4" w:space="0"/>
              <w:right w:val="single" w:color="auto" w:sz="4" w:space="0"/>
            </w:tcBorders>
            <w:vAlign w:val="center"/>
          </w:tcPr>
          <w:p>
            <w:pPr>
              <w:topLinePunct/>
              <w:spacing w:before="100" w:beforeAutospacing="1" w:after="100" w:afterAutospacing="1" w:line="440" w:lineRule="atLeast"/>
              <w:jc w:val="center"/>
              <w:rPr>
                <w:highlight w:val="none"/>
              </w:rPr>
            </w:pPr>
            <w:r>
              <w:rPr>
                <w:highlight w:val="none"/>
              </w:rPr>
              <w:t>备注</w:t>
            </w:r>
          </w:p>
        </w:tc>
        <w:tc>
          <w:tcPr>
            <w:tcW w:w="3849" w:type="pct"/>
            <w:gridSpan w:val="8"/>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highlight w:val="none"/>
              </w:rPr>
            </w:pPr>
          </w:p>
        </w:tc>
      </w:tr>
    </w:tbl>
    <w:p>
      <w:pPr>
        <w:widowControl/>
        <w:autoSpaceDE w:val="0"/>
        <w:autoSpaceDN w:val="0"/>
        <w:spacing w:line="440" w:lineRule="atLeast"/>
        <w:ind w:left="630" w:hanging="630" w:hangingChars="300"/>
        <w:textAlignment w:val="bottom"/>
        <w:rPr>
          <w:szCs w:val="21"/>
          <w:highlight w:val="none"/>
        </w:rPr>
      </w:pPr>
      <w:r>
        <w:rPr>
          <w:szCs w:val="21"/>
          <w:highlight w:val="none"/>
        </w:rPr>
        <w:t>注：1.</w:t>
      </w:r>
      <w:r>
        <w:rPr>
          <w:highlight w:val="none"/>
        </w:rPr>
        <w:t>投标人应根据招标文件第二章“投标人须知”第3.5.1项的要求在本表后附相关证明材料。</w:t>
      </w:r>
    </w:p>
    <w:p>
      <w:pPr>
        <w:spacing w:line="440" w:lineRule="atLeast"/>
        <w:ind w:firstLine="420" w:firstLineChars="200"/>
        <w:rPr>
          <w:szCs w:val="21"/>
          <w:highlight w:val="none"/>
        </w:rPr>
      </w:pPr>
      <w:r>
        <w:rPr>
          <w:szCs w:val="21"/>
          <w:highlight w:val="none"/>
        </w:rPr>
        <w:t>2.以联合体形式参与投标的，联合体各成员应分别填写。</w:t>
      </w:r>
    </w:p>
    <w:p>
      <w:pPr>
        <w:spacing w:line="440" w:lineRule="atLeast"/>
        <w:jc w:val="center"/>
        <w:rPr>
          <w:rFonts w:eastAsia="黑体"/>
          <w:sz w:val="24"/>
          <w:szCs w:val="24"/>
          <w:highlight w:val="none"/>
        </w:rPr>
      </w:pPr>
      <w:r>
        <w:rPr>
          <w:szCs w:val="21"/>
          <w:highlight w:val="none"/>
        </w:rPr>
        <w:br w:type="page"/>
      </w:r>
      <w:bookmarkStart w:id="931" w:name="_Toc2011"/>
      <w:r>
        <w:rPr>
          <w:rFonts w:eastAsia="黑体"/>
          <w:sz w:val="24"/>
          <w:szCs w:val="24"/>
          <w:highlight w:val="none"/>
        </w:rPr>
        <w:t>（二）投标人企业组织机构框图</w:t>
      </w:r>
      <w:bookmarkEnd w:id="931"/>
    </w:p>
    <w:p>
      <w:pPr>
        <w:widowControl/>
        <w:autoSpaceDE w:val="0"/>
        <w:autoSpaceDN w:val="0"/>
        <w:spacing w:line="440" w:lineRule="atLeast"/>
        <w:ind w:left="180"/>
        <w:jc w:val="center"/>
        <w:textAlignment w:val="bottom"/>
        <w:rPr>
          <w:sz w:val="20"/>
          <w:highlight w:val="none"/>
        </w:rPr>
      </w:pPr>
    </w:p>
    <w:p>
      <w:pPr>
        <w:widowControl/>
        <w:autoSpaceDE w:val="0"/>
        <w:autoSpaceDN w:val="0"/>
        <w:spacing w:line="440" w:lineRule="atLeast"/>
        <w:ind w:left="180"/>
        <w:textAlignment w:val="bottom"/>
        <w:rPr>
          <w:sz w:val="20"/>
          <w:highlight w:val="none"/>
        </w:rPr>
      </w:pPr>
    </w:p>
    <w:tbl>
      <w:tblPr>
        <w:tblStyle w:val="38"/>
        <w:tblW w:w="5000" w:type="pct"/>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9572"/>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524" w:hRule="atLeast"/>
        </w:trPr>
        <w:tc>
          <w:tcPr>
            <w:tcW w:w="5000" w:type="pct"/>
            <w:tcBorders>
              <w:bottom w:val="single" w:color="auto" w:sz="6" w:space="0"/>
            </w:tcBorders>
          </w:tcPr>
          <w:p>
            <w:pPr>
              <w:spacing w:line="440" w:lineRule="atLeast"/>
              <w:ind w:left="266" w:right="174" w:rightChars="83" w:firstLine="4"/>
              <w:rPr>
                <w:szCs w:val="21"/>
                <w:highlight w:val="none"/>
              </w:rPr>
            </w:pPr>
          </w:p>
          <w:p>
            <w:pPr>
              <w:spacing w:line="440" w:lineRule="atLeast"/>
              <w:ind w:left="266" w:right="174" w:rightChars="83" w:firstLine="4"/>
              <w:rPr>
                <w:szCs w:val="21"/>
                <w:highlight w:val="none"/>
              </w:rPr>
            </w:pPr>
            <w:r>
              <w:rPr>
                <w:szCs w:val="21"/>
                <w:highlight w:val="none"/>
              </w:rPr>
              <w:t>以框图方式表示。</w:t>
            </w:r>
          </w:p>
          <w:p>
            <w:pPr>
              <w:spacing w:line="440" w:lineRule="atLeast"/>
              <w:ind w:left="266" w:right="174" w:rightChars="83" w:firstLine="4"/>
              <w:rPr>
                <w:szCs w:val="21"/>
                <w:highlight w:val="none"/>
              </w:rPr>
            </w:pPr>
          </w:p>
          <w:p>
            <w:pPr>
              <w:spacing w:line="440" w:lineRule="atLeast"/>
              <w:ind w:right="174" w:rightChars="83" w:firstLine="4"/>
              <w:rPr>
                <w:szCs w:val="21"/>
                <w:highlight w:val="none"/>
              </w:rPr>
            </w:pPr>
          </w:p>
          <w:p>
            <w:pPr>
              <w:spacing w:line="440" w:lineRule="atLeast"/>
              <w:ind w:right="174" w:rightChars="83" w:firstLine="4"/>
              <w:rPr>
                <w:szCs w:val="21"/>
                <w:highlight w:val="none"/>
              </w:rPr>
            </w:pPr>
          </w:p>
          <w:p>
            <w:pPr>
              <w:spacing w:line="440" w:lineRule="atLeast"/>
              <w:ind w:right="174" w:rightChars="83" w:firstLine="4"/>
              <w:rPr>
                <w:szCs w:val="21"/>
                <w:highlight w:val="none"/>
              </w:rPr>
            </w:pPr>
          </w:p>
          <w:p>
            <w:pPr>
              <w:spacing w:line="440" w:lineRule="atLeast"/>
              <w:ind w:right="174" w:rightChars="83" w:firstLine="4"/>
              <w:rPr>
                <w:szCs w:val="21"/>
                <w:highlight w:val="none"/>
              </w:rPr>
            </w:pPr>
          </w:p>
          <w:p>
            <w:pPr>
              <w:spacing w:line="440" w:lineRule="atLeast"/>
              <w:ind w:right="174" w:rightChars="83" w:firstLine="4"/>
              <w:rPr>
                <w:szCs w:val="21"/>
                <w:highlight w:val="none"/>
              </w:rPr>
            </w:pPr>
          </w:p>
          <w:p>
            <w:pPr>
              <w:spacing w:line="440" w:lineRule="atLeast"/>
              <w:ind w:right="174" w:rightChars="83" w:firstLine="4"/>
              <w:rPr>
                <w:szCs w:val="21"/>
                <w:highlight w:val="none"/>
              </w:rPr>
            </w:pPr>
          </w:p>
          <w:p>
            <w:pPr>
              <w:spacing w:line="440" w:lineRule="atLeast"/>
              <w:ind w:right="174" w:rightChars="83" w:firstLine="4"/>
              <w:rPr>
                <w:szCs w:val="21"/>
                <w:highlight w:val="none"/>
              </w:rPr>
            </w:pPr>
          </w:p>
          <w:p>
            <w:pPr>
              <w:spacing w:line="440" w:lineRule="atLeast"/>
              <w:ind w:right="174" w:rightChars="83" w:firstLine="4"/>
              <w:rPr>
                <w:szCs w:val="21"/>
                <w:highlight w:val="none"/>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2" w:hRule="atLeast"/>
        </w:trPr>
        <w:tc>
          <w:tcPr>
            <w:tcW w:w="5000" w:type="pct"/>
            <w:tcBorders>
              <w:bottom w:val="single" w:color="auto" w:sz="6" w:space="0"/>
            </w:tcBorders>
          </w:tcPr>
          <w:p>
            <w:pPr>
              <w:spacing w:line="440" w:lineRule="atLeast"/>
              <w:ind w:left="266" w:right="174" w:rightChars="83" w:firstLine="4"/>
              <w:rPr>
                <w:szCs w:val="21"/>
                <w:highlight w:val="none"/>
              </w:rPr>
            </w:pPr>
            <w:r>
              <w:rPr>
                <w:szCs w:val="21"/>
                <w:highlight w:val="none"/>
              </w:rPr>
              <w:t>说明</w:t>
            </w:r>
          </w:p>
          <w:p>
            <w:pPr>
              <w:spacing w:line="440" w:lineRule="atLeast"/>
              <w:ind w:left="266" w:right="174" w:rightChars="83" w:firstLine="4"/>
              <w:rPr>
                <w:szCs w:val="21"/>
                <w:highlight w:val="none"/>
              </w:rPr>
            </w:pPr>
          </w:p>
          <w:p>
            <w:pPr>
              <w:spacing w:line="440" w:lineRule="atLeast"/>
              <w:ind w:left="266" w:right="174" w:rightChars="83" w:firstLine="4"/>
              <w:rPr>
                <w:szCs w:val="21"/>
                <w:highlight w:val="none"/>
              </w:rPr>
            </w:pPr>
          </w:p>
          <w:p>
            <w:pPr>
              <w:spacing w:line="440" w:lineRule="atLeast"/>
              <w:ind w:left="266" w:right="174" w:rightChars="83" w:firstLine="4"/>
              <w:rPr>
                <w:szCs w:val="21"/>
                <w:highlight w:val="none"/>
              </w:rPr>
            </w:pPr>
          </w:p>
          <w:p>
            <w:pPr>
              <w:spacing w:line="440" w:lineRule="atLeast"/>
              <w:ind w:left="266" w:right="174" w:rightChars="83" w:firstLine="4"/>
              <w:rPr>
                <w:szCs w:val="21"/>
                <w:highlight w:val="none"/>
              </w:rPr>
            </w:pPr>
          </w:p>
        </w:tc>
      </w:tr>
    </w:tbl>
    <w:p>
      <w:pPr>
        <w:topLinePunct/>
        <w:spacing w:line="440" w:lineRule="atLeast"/>
        <w:jc w:val="center"/>
        <w:rPr>
          <w:rFonts w:eastAsia="黑体"/>
          <w:sz w:val="24"/>
          <w:highlight w:val="none"/>
        </w:rPr>
      </w:pPr>
      <w:r>
        <w:rPr>
          <w:rFonts w:eastAsia="黑体"/>
          <w:sz w:val="24"/>
          <w:highlight w:val="none"/>
        </w:rPr>
        <w:t xml:space="preserve"> </w:t>
      </w:r>
    </w:p>
    <w:p>
      <w:pPr>
        <w:widowControl/>
        <w:spacing w:line="440" w:lineRule="atLeast"/>
        <w:jc w:val="left"/>
        <w:rPr>
          <w:rFonts w:eastAsia="黑体"/>
          <w:bCs/>
          <w:kern w:val="44"/>
          <w:sz w:val="24"/>
          <w:highlight w:val="none"/>
        </w:rPr>
      </w:pPr>
      <w:r>
        <w:rPr>
          <w:rFonts w:eastAsia="黑体"/>
          <w:b/>
          <w:sz w:val="24"/>
          <w:highlight w:val="none"/>
        </w:rPr>
        <w:br w:type="page"/>
      </w:r>
    </w:p>
    <w:p>
      <w:pPr>
        <w:spacing w:line="440" w:lineRule="atLeast"/>
        <w:jc w:val="center"/>
        <w:rPr>
          <w:rFonts w:eastAsia="黑体"/>
          <w:sz w:val="24"/>
          <w:szCs w:val="24"/>
          <w:highlight w:val="none"/>
        </w:rPr>
      </w:pPr>
      <w:bookmarkStart w:id="932" w:name="_Toc7017"/>
      <w:r>
        <w:rPr>
          <w:rFonts w:eastAsia="黑体"/>
          <w:sz w:val="24"/>
          <w:szCs w:val="24"/>
          <w:highlight w:val="none"/>
        </w:rPr>
        <w:t>（三）近年完成的类似项目情况表</w:t>
      </w:r>
      <w:bookmarkEnd w:id="932"/>
    </w:p>
    <w:p>
      <w:pPr>
        <w:spacing w:line="440" w:lineRule="atLeast"/>
        <w:ind w:left="735" w:hanging="735" w:hangingChars="350"/>
        <w:rPr>
          <w:szCs w:val="21"/>
          <w:highlight w:val="none"/>
        </w:rPr>
      </w:pPr>
    </w:p>
    <w:tbl>
      <w:tblPr>
        <w:tblStyle w:val="38"/>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8"/>
        <w:gridCol w:w="70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序    号</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项目名称</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项目所在地</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委托人名称</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委托人地址</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委托人电话</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项目等级</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项目总投资</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rFonts w:hint="eastAsia"/>
                <w:szCs w:val="21"/>
                <w:highlight w:val="none"/>
              </w:rPr>
              <w:t>服务</w:t>
            </w:r>
            <w:r>
              <w:rPr>
                <w:szCs w:val="21"/>
                <w:highlight w:val="none"/>
              </w:rPr>
              <w:t>费</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rFonts w:hint="eastAsia"/>
                <w:szCs w:val="21"/>
                <w:highlight w:val="none"/>
              </w:rPr>
              <w:t>服务</w:t>
            </w:r>
            <w:r>
              <w:rPr>
                <w:szCs w:val="21"/>
                <w:highlight w:val="none"/>
              </w:rPr>
              <w:t>期限</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rFonts w:hint="eastAsia"/>
                <w:szCs w:val="21"/>
                <w:highlight w:val="none"/>
              </w:rPr>
              <w:t>服务</w:t>
            </w:r>
            <w:r>
              <w:rPr>
                <w:szCs w:val="21"/>
                <w:highlight w:val="none"/>
              </w:rPr>
              <w:t>内容</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项目负责人</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项目描述</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p>
            <w:pPr>
              <w:topLinePunct/>
              <w:spacing w:line="440" w:lineRule="atLeast"/>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1331" w:type="pct"/>
            <w:tcBorders>
              <w:top w:val="single" w:color="auto" w:sz="4" w:space="0"/>
              <w:left w:val="single" w:color="auto" w:sz="4" w:space="0"/>
              <w:bottom w:val="single" w:color="auto" w:sz="4" w:space="0"/>
              <w:right w:val="single" w:color="auto" w:sz="4" w:space="0"/>
            </w:tcBorders>
            <w:vAlign w:val="center"/>
          </w:tcPr>
          <w:p>
            <w:pPr>
              <w:topLinePunct/>
              <w:spacing w:line="440" w:lineRule="atLeast"/>
              <w:jc w:val="center"/>
              <w:rPr>
                <w:szCs w:val="21"/>
                <w:highlight w:val="none"/>
              </w:rPr>
            </w:pPr>
            <w:r>
              <w:rPr>
                <w:szCs w:val="21"/>
                <w:highlight w:val="none"/>
              </w:rPr>
              <w:t>备注</w:t>
            </w:r>
          </w:p>
        </w:tc>
        <w:tc>
          <w:tcPr>
            <w:tcW w:w="3668" w:type="pct"/>
            <w:tcBorders>
              <w:top w:val="single" w:color="auto" w:sz="4" w:space="0"/>
              <w:left w:val="single" w:color="auto" w:sz="4" w:space="0"/>
              <w:bottom w:val="single" w:color="auto" w:sz="4" w:space="0"/>
              <w:right w:val="single" w:color="auto" w:sz="4" w:space="0"/>
            </w:tcBorders>
          </w:tcPr>
          <w:p>
            <w:pPr>
              <w:topLinePunct/>
              <w:spacing w:line="440" w:lineRule="atLeast"/>
              <w:rPr>
                <w:szCs w:val="21"/>
                <w:highlight w:val="none"/>
              </w:rPr>
            </w:pPr>
          </w:p>
          <w:p>
            <w:pPr>
              <w:topLinePunct/>
              <w:spacing w:line="440" w:lineRule="atLeast"/>
              <w:rPr>
                <w:szCs w:val="21"/>
                <w:highlight w:val="none"/>
              </w:rPr>
            </w:pPr>
          </w:p>
        </w:tc>
      </w:tr>
    </w:tbl>
    <w:p>
      <w:pPr>
        <w:spacing w:line="440" w:lineRule="atLeast"/>
        <w:ind w:left="735" w:hanging="735" w:hangingChars="350"/>
        <w:rPr>
          <w:szCs w:val="21"/>
          <w:highlight w:val="none"/>
        </w:rPr>
      </w:pPr>
      <w:r>
        <w:rPr>
          <w:szCs w:val="21"/>
          <w:highlight w:val="none"/>
        </w:rPr>
        <w:t>注：1.每张表格只填写一个项目，并标明序号。</w:t>
      </w:r>
    </w:p>
    <w:p>
      <w:pPr>
        <w:spacing w:line="440" w:lineRule="atLeast"/>
        <w:ind w:left="588" w:leftChars="200" w:hanging="168" w:hangingChars="80"/>
        <w:rPr>
          <w:szCs w:val="21"/>
          <w:highlight w:val="none"/>
        </w:rPr>
      </w:pPr>
      <w:r>
        <w:rPr>
          <w:szCs w:val="21"/>
          <w:highlight w:val="none"/>
        </w:rPr>
        <w:t>2.</w:t>
      </w:r>
      <w:r>
        <w:rPr>
          <w:highlight w:val="none"/>
        </w:rPr>
        <w:t>投标人应根据招标文件第二章“投标人须知”第3.5.2项的要求在本表后附相关证明材料。</w:t>
      </w:r>
    </w:p>
    <w:p>
      <w:pPr>
        <w:spacing w:line="440" w:lineRule="atLeast"/>
        <w:ind w:left="588" w:leftChars="200" w:hanging="168" w:hangingChars="80"/>
        <w:rPr>
          <w:szCs w:val="21"/>
          <w:highlight w:val="none"/>
        </w:rPr>
      </w:pPr>
      <w:r>
        <w:rPr>
          <w:szCs w:val="21"/>
          <w:highlight w:val="none"/>
        </w:rPr>
        <w:t>3.如近年来，投标人法人机构发生合法变更或重组或法人名称变更时，应提供相关部门的合法批件或其他相关证明材料来证明其所附业绩的继承性。</w:t>
      </w:r>
    </w:p>
    <w:p>
      <w:pPr>
        <w:spacing w:line="440" w:lineRule="atLeast"/>
        <w:ind w:left="588" w:leftChars="200" w:hanging="168" w:hangingChars="80"/>
        <w:rPr>
          <w:szCs w:val="21"/>
          <w:highlight w:val="none"/>
        </w:rPr>
      </w:pPr>
      <w:r>
        <w:rPr>
          <w:szCs w:val="21"/>
          <w:highlight w:val="none"/>
        </w:rPr>
        <w:t>4.以联合体形式参与投标的，联合体各成员应分别填写。</w:t>
      </w:r>
    </w:p>
    <w:p>
      <w:pPr>
        <w:spacing w:line="440" w:lineRule="atLeast"/>
        <w:jc w:val="center"/>
        <w:rPr>
          <w:rFonts w:eastAsia="黑体"/>
          <w:sz w:val="24"/>
          <w:szCs w:val="24"/>
          <w:highlight w:val="none"/>
        </w:rPr>
      </w:pPr>
      <w:r>
        <w:rPr>
          <w:rFonts w:eastAsia="黑体"/>
          <w:sz w:val="23"/>
          <w:szCs w:val="23"/>
          <w:highlight w:val="none"/>
        </w:rPr>
        <w:br w:type="page"/>
      </w:r>
      <w:bookmarkStart w:id="933" w:name="_Toc5023"/>
      <w:r>
        <w:rPr>
          <w:rFonts w:eastAsia="黑体"/>
          <w:sz w:val="24"/>
          <w:szCs w:val="24"/>
          <w:highlight w:val="none"/>
        </w:rPr>
        <w:t>（四）投标人的信誉情况表</w:t>
      </w:r>
      <w:bookmarkEnd w:id="933"/>
    </w:p>
    <w:p>
      <w:pPr>
        <w:spacing w:line="440" w:lineRule="atLeast"/>
        <w:jc w:val="center"/>
        <w:rPr>
          <w:rFonts w:eastAsia="黑体"/>
          <w:sz w:val="20"/>
          <w:highlight w:val="none"/>
        </w:rPr>
      </w:pPr>
    </w:p>
    <w:tbl>
      <w:tblPr>
        <w:tblStyle w:val="3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6"/>
        <w:gridCol w:w="47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1" w:hRule="atLeast"/>
        </w:trPr>
        <w:tc>
          <w:tcPr>
            <w:tcW w:w="2500" w:type="pct"/>
            <w:vAlign w:val="center"/>
          </w:tcPr>
          <w:p>
            <w:pPr>
              <w:topLinePunct/>
              <w:spacing w:line="440" w:lineRule="atLeast"/>
              <w:jc w:val="center"/>
              <w:rPr>
                <w:bCs/>
                <w:sz w:val="20"/>
                <w:highlight w:val="none"/>
              </w:rPr>
            </w:pPr>
            <w:r>
              <w:rPr>
                <w:bCs/>
                <w:sz w:val="20"/>
                <w:highlight w:val="none"/>
              </w:rPr>
              <w:t>项 目</w:t>
            </w:r>
          </w:p>
        </w:tc>
        <w:tc>
          <w:tcPr>
            <w:tcW w:w="2500" w:type="pct"/>
            <w:vAlign w:val="center"/>
          </w:tcPr>
          <w:p>
            <w:pPr>
              <w:topLinePunct/>
              <w:spacing w:line="440" w:lineRule="atLeast"/>
              <w:jc w:val="center"/>
              <w:rPr>
                <w:bCs/>
                <w:sz w:val="20"/>
                <w:highlight w:val="none"/>
              </w:rPr>
            </w:pPr>
            <w:r>
              <w:rPr>
                <w:bCs/>
                <w:sz w:val="20"/>
                <w:highlight w:val="none"/>
              </w:rPr>
              <w:t>投标人情况说明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2500" w:type="pct"/>
          </w:tcPr>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tc>
        <w:tc>
          <w:tcPr>
            <w:tcW w:w="2500" w:type="pct"/>
          </w:tcPr>
          <w:p>
            <w:pPr>
              <w:topLinePunct/>
              <w:spacing w:line="440" w:lineRule="atLeast"/>
              <w:rPr>
                <w:bCs/>
                <w:sz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2500" w:type="pct"/>
          </w:tcPr>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tc>
        <w:tc>
          <w:tcPr>
            <w:tcW w:w="2500" w:type="pct"/>
          </w:tcPr>
          <w:p>
            <w:pPr>
              <w:topLinePunct/>
              <w:spacing w:line="440" w:lineRule="atLeast"/>
              <w:rPr>
                <w:bCs/>
                <w:sz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2500" w:type="pct"/>
          </w:tcPr>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tc>
        <w:tc>
          <w:tcPr>
            <w:tcW w:w="2500" w:type="pct"/>
          </w:tcPr>
          <w:p>
            <w:pPr>
              <w:topLinePunct/>
              <w:spacing w:line="440" w:lineRule="atLeast"/>
              <w:rPr>
                <w:bCs/>
                <w:sz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2500" w:type="pct"/>
          </w:tcPr>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tc>
        <w:tc>
          <w:tcPr>
            <w:tcW w:w="2500" w:type="pct"/>
          </w:tcPr>
          <w:p>
            <w:pPr>
              <w:topLinePunct/>
              <w:spacing w:line="440" w:lineRule="atLeast"/>
              <w:rPr>
                <w:bCs/>
                <w:sz w:val="2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atLeast"/>
        </w:trPr>
        <w:tc>
          <w:tcPr>
            <w:tcW w:w="2500" w:type="pct"/>
          </w:tcPr>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p>
            <w:pPr>
              <w:topLinePunct/>
              <w:spacing w:line="440" w:lineRule="atLeast"/>
              <w:rPr>
                <w:bCs/>
                <w:sz w:val="20"/>
                <w:highlight w:val="none"/>
              </w:rPr>
            </w:pPr>
          </w:p>
        </w:tc>
        <w:tc>
          <w:tcPr>
            <w:tcW w:w="2500" w:type="pct"/>
          </w:tcPr>
          <w:p>
            <w:pPr>
              <w:topLinePunct/>
              <w:spacing w:line="440" w:lineRule="atLeast"/>
              <w:rPr>
                <w:bCs/>
                <w:sz w:val="20"/>
                <w:highlight w:val="none"/>
              </w:rPr>
            </w:pPr>
          </w:p>
        </w:tc>
      </w:tr>
    </w:tbl>
    <w:p>
      <w:pPr>
        <w:spacing w:line="440" w:lineRule="atLeast"/>
        <w:ind w:left="420" w:hanging="420" w:hangingChars="200"/>
        <w:rPr>
          <w:szCs w:val="21"/>
          <w:highlight w:val="none"/>
        </w:rPr>
      </w:pPr>
      <w:r>
        <w:rPr>
          <w:szCs w:val="21"/>
          <w:highlight w:val="none"/>
        </w:rPr>
        <w:t>注：1.投标人应按照招标文件第二章“投标人须知”前附表附录3和“投标人须知”正文第1.4.4项规定，逐条说明其信誉情况。</w:t>
      </w:r>
    </w:p>
    <w:p>
      <w:pPr>
        <w:spacing w:line="440" w:lineRule="atLeast"/>
        <w:ind w:firstLine="420" w:firstLineChars="200"/>
        <w:rPr>
          <w:szCs w:val="21"/>
          <w:highlight w:val="none"/>
        </w:rPr>
      </w:pPr>
      <w:r>
        <w:rPr>
          <w:szCs w:val="21"/>
          <w:highlight w:val="none"/>
        </w:rPr>
        <w:t>2.</w:t>
      </w:r>
      <w:r>
        <w:rPr>
          <w:highlight w:val="none"/>
        </w:rPr>
        <w:t>投标人应根据招标文件第二章“投标人须知”第3.5.3项的要求在本表后附相关证明材料。</w:t>
      </w:r>
    </w:p>
    <w:p>
      <w:pPr>
        <w:spacing w:line="440" w:lineRule="atLeast"/>
        <w:ind w:firstLine="420" w:firstLineChars="200"/>
        <w:rPr>
          <w:szCs w:val="21"/>
          <w:highlight w:val="none"/>
        </w:rPr>
      </w:pPr>
      <w:r>
        <w:rPr>
          <w:szCs w:val="21"/>
          <w:highlight w:val="none"/>
        </w:rPr>
        <w:t>3.以联合体形式参与投标的，联合体各成员应分别填写。</w:t>
      </w:r>
    </w:p>
    <w:p>
      <w:pPr>
        <w:spacing w:line="440" w:lineRule="atLeast"/>
        <w:ind w:firstLine="420" w:firstLineChars="200"/>
        <w:rPr>
          <w:szCs w:val="21"/>
          <w:highlight w:val="none"/>
        </w:rPr>
      </w:pPr>
      <w:r>
        <w:rPr>
          <w:szCs w:val="21"/>
          <w:highlight w:val="none"/>
        </w:rPr>
        <w:br w:type="page"/>
      </w:r>
    </w:p>
    <w:p>
      <w:pPr>
        <w:spacing w:line="440" w:lineRule="atLeast"/>
        <w:jc w:val="center"/>
        <w:rPr>
          <w:rFonts w:eastAsia="黑体"/>
          <w:sz w:val="24"/>
          <w:szCs w:val="24"/>
          <w:highlight w:val="none"/>
        </w:rPr>
      </w:pPr>
      <w:r>
        <w:rPr>
          <w:rFonts w:eastAsia="黑体"/>
          <w:sz w:val="24"/>
          <w:szCs w:val="24"/>
          <w:highlight w:val="none"/>
        </w:rPr>
        <w:t xml:space="preserve"> </w:t>
      </w:r>
      <w:bookmarkStart w:id="934" w:name="_Toc32138"/>
      <w:r>
        <w:rPr>
          <w:rFonts w:eastAsia="黑体"/>
          <w:sz w:val="24"/>
          <w:szCs w:val="24"/>
          <w:highlight w:val="none"/>
        </w:rPr>
        <w:t>（五）拟委任的项目负责人资历表</w:t>
      </w:r>
      <w:bookmarkEnd w:id="934"/>
    </w:p>
    <w:p>
      <w:pPr>
        <w:widowControl/>
        <w:autoSpaceDE w:val="0"/>
        <w:autoSpaceDN w:val="0"/>
        <w:spacing w:line="440" w:lineRule="atLeast"/>
        <w:jc w:val="center"/>
        <w:textAlignment w:val="bottom"/>
        <w:rPr>
          <w:highlight w:val="none"/>
        </w:rPr>
      </w:pPr>
    </w:p>
    <w:tbl>
      <w:tblPr>
        <w:tblStyle w:val="3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328"/>
        <w:gridCol w:w="56"/>
        <w:gridCol w:w="1241"/>
        <w:gridCol w:w="326"/>
        <w:gridCol w:w="1143"/>
        <w:gridCol w:w="1491"/>
        <w:gridCol w:w="365"/>
        <w:gridCol w:w="1662"/>
        <w:gridCol w:w="418"/>
        <w:gridCol w:w="13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60" w:hRule="atLeast"/>
        </w:trPr>
        <w:tc>
          <w:tcPr>
            <w:tcW w:w="706"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姓    名</w:t>
            </w:r>
          </w:p>
        </w:tc>
        <w:tc>
          <w:tcPr>
            <w:tcW w:w="862" w:type="pct"/>
            <w:gridSpan w:val="3"/>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607"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年    龄</w:t>
            </w:r>
          </w:p>
        </w:tc>
        <w:tc>
          <w:tcPr>
            <w:tcW w:w="791" w:type="pct"/>
          </w:tcPr>
          <w:p>
            <w:pPr>
              <w:widowControl/>
              <w:autoSpaceDE w:val="0"/>
              <w:autoSpaceDN w:val="0"/>
              <w:spacing w:before="78" w:beforeLines="25" w:after="78" w:afterLines="25" w:line="440" w:lineRule="atLeast"/>
              <w:jc w:val="center"/>
              <w:textAlignment w:val="bottom"/>
              <w:rPr>
                <w:szCs w:val="21"/>
                <w:highlight w:val="none"/>
              </w:rPr>
            </w:pPr>
          </w:p>
        </w:tc>
        <w:tc>
          <w:tcPr>
            <w:tcW w:w="1077" w:type="pct"/>
            <w:gridSpan w:val="2"/>
          </w:tcPr>
          <w:p>
            <w:pPr>
              <w:widowControl/>
              <w:autoSpaceDE w:val="0"/>
              <w:autoSpaceDN w:val="0"/>
              <w:spacing w:before="78" w:beforeLines="25" w:after="78" w:afterLines="25" w:line="440" w:lineRule="atLeast"/>
              <w:jc w:val="center"/>
              <w:textAlignment w:val="bottom"/>
              <w:rPr>
                <w:szCs w:val="21"/>
                <w:highlight w:val="none"/>
              </w:rPr>
            </w:pPr>
            <w:r>
              <w:rPr>
                <w:highlight w:val="none"/>
              </w:rPr>
              <w:t>执业或职业资格证书名称</w:t>
            </w:r>
          </w:p>
        </w:tc>
        <w:tc>
          <w:tcPr>
            <w:tcW w:w="956" w:type="pct"/>
            <w:gridSpan w:val="2"/>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06"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技术职称</w:t>
            </w:r>
          </w:p>
        </w:tc>
        <w:tc>
          <w:tcPr>
            <w:tcW w:w="862" w:type="pct"/>
            <w:gridSpan w:val="3"/>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607"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学    历</w:t>
            </w:r>
          </w:p>
        </w:tc>
        <w:tc>
          <w:tcPr>
            <w:tcW w:w="791" w:type="pct"/>
          </w:tcPr>
          <w:p>
            <w:pPr>
              <w:widowControl/>
              <w:autoSpaceDE w:val="0"/>
              <w:autoSpaceDN w:val="0"/>
              <w:spacing w:before="78" w:beforeLines="25" w:after="78" w:afterLines="25" w:line="440" w:lineRule="atLeast"/>
              <w:jc w:val="center"/>
              <w:textAlignment w:val="bottom"/>
              <w:rPr>
                <w:szCs w:val="21"/>
                <w:highlight w:val="none"/>
              </w:rPr>
            </w:pPr>
          </w:p>
        </w:tc>
        <w:tc>
          <w:tcPr>
            <w:tcW w:w="1077" w:type="pct"/>
            <w:gridSpan w:val="2"/>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拟在本标段</w:t>
            </w:r>
          </w:p>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工程任职</w:t>
            </w:r>
          </w:p>
        </w:tc>
        <w:tc>
          <w:tcPr>
            <w:tcW w:w="956" w:type="pct"/>
            <w:gridSpan w:val="2"/>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06"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工作年限</w:t>
            </w:r>
          </w:p>
        </w:tc>
        <w:tc>
          <w:tcPr>
            <w:tcW w:w="2261"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077"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r>
              <w:rPr>
                <w:highlight w:val="none"/>
              </w:rPr>
              <w:t>从工作年限</w:t>
            </w:r>
          </w:p>
        </w:tc>
        <w:tc>
          <w:tcPr>
            <w:tcW w:w="956" w:type="pct"/>
            <w:gridSpan w:val="2"/>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03" w:hRule="atLeast"/>
        </w:trPr>
        <w:tc>
          <w:tcPr>
            <w:tcW w:w="706"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毕业学校</w:t>
            </w:r>
          </w:p>
        </w:tc>
        <w:tc>
          <w:tcPr>
            <w:tcW w:w="4294" w:type="pct"/>
            <w:gridSpan w:val="9"/>
            <w:vAlign w:val="center"/>
          </w:tcPr>
          <w:p>
            <w:pPr>
              <w:widowControl/>
              <w:autoSpaceDE w:val="0"/>
              <w:autoSpaceDN w:val="0"/>
              <w:spacing w:before="78" w:beforeLines="25" w:after="78" w:afterLines="25" w:line="440" w:lineRule="atLeast"/>
              <w:ind w:left="-187" w:leftChars="-89"/>
              <w:jc w:val="center"/>
              <w:textAlignment w:val="bottom"/>
              <w:rPr>
                <w:szCs w:val="21"/>
                <w:highlight w:val="none"/>
              </w:rPr>
            </w:pPr>
            <w:r>
              <w:rPr>
                <w:szCs w:val="21"/>
                <w:highlight w:val="none"/>
              </w:rPr>
              <w:t>______年___月毕业于___________________学校___________专业，学制______年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5000" w:type="pct"/>
            <w:gridSpan w:val="10"/>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经         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r>
              <w:rPr>
                <w:highlight w:val="none"/>
              </w:rPr>
              <w:t>时  间</w:t>
            </w:r>
          </w:p>
        </w:tc>
        <w:tc>
          <w:tcPr>
            <w:tcW w:w="2425" w:type="pct"/>
            <w:gridSpan w:val="5"/>
            <w:vAlign w:val="center"/>
          </w:tcPr>
          <w:p>
            <w:pPr>
              <w:pStyle w:val="133"/>
              <w:widowControl/>
              <w:adjustRightInd/>
              <w:snapToGrid/>
              <w:spacing w:before="78" w:beforeLines="25" w:after="78" w:afterLines="25" w:line="440" w:lineRule="atLeast"/>
              <w:textAlignment w:val="bottom"/>
              <w:rPr>
                <w:spacing w:val="0"/>
                <w:kern w:val="2"/>
                <w:szCs w:val="21"/>
                <w:highlight w:val="none"/>
              </w:rPr>
            </w:pPr>
            <w:r>
              <w:rPr>
                <w:spacing w:val="0"/>
                <w:kern w:val="2"/>
                <w:szCs w:val="21"/>
                <w:highlight w:val="none"/>
              </w:rPr>
              <w:t>参加过的类似工程项目名称</w:t>
            </w:r>
          </w:p>
        </w:tc>
        <w:tc>
          <w:tcPr>
            <w:tcW w:w="1105" w:type="pct"/>
            <w:gridSpan w:val="2"/>
            <w:vAlign w:val="center"/>
          </w:tcPr>
          <w:p>
            <w:pPr>
              <w:pStyle w:val="133"/>
              <w:widowControl/>
              <w:adjustRightInd/>
              <w:snapToGrid/>
              <w:spacing w:before="78" w:beforeLines="25" w:after="78" w:afterLines="25" w:line="440" w:lineRule="atLeast"/>
              <w:textAlignment w:val="bottom"/>
              <w:rPr>
                <w:spacing w:val="0"/>
                <w:kern w:val="2"/>
                <w:szCs w:val="21"/>
                <w:highlight w:val="none"/>
              </w:rPr>
            </w:pPr>
            <w:r>
              <w:rPr>
                <w:spacing w:val="0"/>
                <w:kern w:val="2"/>
                <w:szCs w:val="21"/>
                <w:highlight w:val="none"/>
              </w:rPr>
              <w:t>担任职务</w:t>
            </w:r>
          </w:p>
        </w:tc>
        <w:tc>
          <w:tcPr>
            <w:tcW w:w="735"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委托人及联系电话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5"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5"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5"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5"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5"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5"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5"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5"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1395" w:type="pct"/>
            <w:gridSpan w:val="3"/>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获奖情况</w:t>
            </w:r>
          </w:p>
        </w:tc>
        <w:tc>
          <w:tcPr>
            <w:tcW w:w="3605" w:type="pct"/>
            <w:gridSpan w:val="7"/>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395" w:type="pct"/>
            <w:gridSpan w:val="3"/>
            <w:vAlign w:val="center"/>
          </w:tcPr>
          <w:p>
            <w:pPr>
              <w:widowControl/>
              <w:autoSpaceDE w:val="0"/>
              <w:autoSpaceDN w:val="0"/>
              <w:spacing w:line="440" w:lineRule="atLeast"/>
              <w:jc w:val="center"/>
              <w:textAlignment w:val="bottom"/>
              <w:rPr>
                <w:szCs w:val="21"/>
                <w:highlight w:val="none"/>
              </w:rPr>
            </w:pPr>
            <w:r>
              <w:rPr>
                <w:szCs w:val="21"/>
                <w:highlight w:val="none"/>
              </w:rPr>
              <w:t>备     注</w:t>
            </w:r>
          </w:p>
        </w:tc>
        <w:tc>
          <w:tcPr>
            <w:tcW w:w="3605" w:type="pct"/>
            <w:gridSpan w:val="7"/>
          </w:tcPr>
          <w:p>
            <w:pPr>
              <w:widowControl/>
              <w:autoSpaceDE w:val="0"/>
              <w:autoSpaceDN w:val="0"/>
              <w:spacing w:line="440" w:lineRule="atLeast"/>
              <w:textAlignment w:val="bottom"/>
              <w:rPr>
                <w:szCs w:val="21"/>
                <w:highlight w:val="none"/>
              </w:rPr>
            </w:pPr>
          </w:p>
        </w:tc>
      </w:tr>
    </w:tbl>
    <w:p>
      <w:pPr>
        <w:spacing w:line="440" w:lineRule="atLeast"/>
        <w:ind w:left="420" w:hanging="420" w:hangingChars="200"/>
        <w:rPr>
          <w:szCs w:val="21"/>
          <w:highlight w:val="none"/>
        </w:rPr>
      </w:pPr>
      <w:r>
        <w:rPr>
          <w:szCs w:val="21"/>
          <w:highlight w:val="none"/>
        </w:rPr>
        <w:t>注：1.本表应填写项目负责人相关情况。</w:t>
      </w:r>
    </w:p>
    <w:p>
      <w:pPr>
        <w:spacing w:line="440" w:lineRule="atLeast"/>
        <w:ind w:firstLine="420" w:firstLineChars="200"/>
        <w:rPr>
          <w:szCs w:val="21"/>
          <w:highlight w:val="none"/>
        </w:rPr>
      </w:pPr>
      <w:r>
        <w:rPr>
          <w:szCs w:val="21"/>
          <w:highlight w:val="none"/>
        </w:rPr>
        <w:t>2.投标人应根据招标文件第二章“投标人须知”第3.5.4项的要求在本表后附相关证明材料。</w:t>
      </w:r>
    </w:p>
    <w:p>
      <w:pPr>
        <w:spacing w:line="440" w:lineRule="atLeast"/>
        <w:jc w:val="center"/>
        <w:rPr>
          <w:rFonts w:eastAsia="黑体"/>
          <w:sz w:val="23"/>
          <w:szCs w:val="23"/>
          <w:highlight w:val="none"/>
        </w:rPr>
      </w:pPr>
      <w:r>
        <w:rPr>
          <w:rFonts w:eastAsia="黑体"/>
          <w:sz w:val="24"/>
          <w:highlight w:val="none"/>
        </w:rPr>
        <w:br w:type="page"/>
      </w:r>
    </w:p>
    <w:p>
      <w:pPr>
        <w:spacing w:line="440" w:lineRule="atLeast"/>
        <w:jc w:val="center"/>
        <w:rPr>
          <w:rFonts w:eastAsia="黑体"/>
          <w:sz w:val="24"/>
          <w:szCs w:val="24"/>
          <w:highlight w:val="none"/>
        </w:rPr>
      </w:pPr>
      <w:bookmarkStart w:id="935" w:name="_Toc18068"/>
      <w:r>
        <w:rPr>
          <w:rFonts w:eastAsia="黑体"/>
          <w:sz w:val="24"/>
          <w:szCs w:val="24"/>
          <w:highlight w:val="none"/>
        </w:rPr>
        <w:t>（六）拟委任的其他主要</w:t>
      </w:r>
      <w:r>
        <w:rPr>
          <w:rFonts w:hint="eastAsia" w:eastAsia="黑体"/>
          <w:sz w:val="24"/>
          <w:szCs w:val="24"/>
          <w:highlight w:val="none"/>
        </w:rPr>
        <w:t>服务</w:t>
      </w:r>
      <w:r>
        <w:rPr>
          <w:rFonts w:eastAsia="黑体"/>
          <w:sz w:val="24"/>
          <w:szCs w:val="24"/>
          <w:highlight w:val="none"/>
        </w:rPr>
        <w:t>人员汇总表</w:t>
      </w:r>
      <w:r>
        <w:rPr>
          <w:rFonts w:eastAsia="黑体"/>
          <w:sz w:val="24"/>
          <w:szCs w:val="24"/>
          <w:highlight w:val="none"/>
          <w:vertAlign w:val="superscript"/>
        </w:rPr>
        <w:footnoteReference w:id="19"/>
      </w:r>
      <w:bookmarkEnd w:id="935"/>
    </w:p>
    <w:p>
      <w:pPr>
        <w:spacing w:line="440" w:lineRule="atLeast"/>
        <w:rPr>
          <w:highlight w:val="none"/>
        </w:rPr>
      </w:pPr>
    </w:p>
    <w:tbl>
      <w:tblPr>
        <w:tblStyle w:val="3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3"/>
        <w:gridCol w:w="1521"/>
        <w:gridCol w:w="1074"/>
        <w:gridCol w:w="827"/>
        <w:gridCol w:w="582"/>
        <w:gridCol w:w="1352"/>
        <w:gridCol w:w="845"/>
        <w:gridCol w:w="1042"/>
        <w:gridCol w:w="13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vMerge w:val="restart"/>
            <w:vAlign w:val="center"/>
          </w:tcPr>
          <w:p>
            <w:pPr>
              <w:spacing w:line="440" w:lineRule="atLeast"/>
              <w:jc w:val="center"/>
              <w:rPr>
                <w:highlight w:val="none"/>
              </w:rPr>
            </w:pPr>
            <w:r>
              <w:rPr>
                <w:highlight w:val="none"/>
              </w:rPr>
              <w:t>序号</w:t>
            </w:r>
          </w:p>
        </w:tc>
        <w:tc>
          <w:tcPr>
            <w:tcW w:w="794" w:type="pct"/>
            <w:vMerge w:val="restart"/>
            <w:vAlign w:val="center"/>
          </w:tcPr>
          <w:p>
            <w:pPr>
              <w:spacing w:line="440" w:lineRule="atLeast"/>
              <w:jc w:val="center"/>
              <w:rPr>
                <w:highlight w:val="none"/>
              </w:rPr>
            </w:pPr>
            <w:r>
              <w:rPr>
                <w:highlight w:val="none"/>
              </w:rPr>
              <w:t>本标段任职</w:t>
            </w:r>
          </w:p>
        </w:tc>
        <w:tc>
          <w:tcPr>
            <w:tcW w:w="561" w:type="pct"/>
            <w:vMerge w:val="restart"/>
            <w:vAlign w:val="center"/>
          </w:tcPr>
          <w:p>
            <w:pPr>
              <w:spacing w:line="440" w:lineRule="atLeast"/>
              <w:jc w:val="center"/>
              <w:rPr>
                <w:highlight w:val="none"/>
              </w:rPr>
            </w:pPr>
            <w:r>
              <w:rPr>
                <w:highlight w:val="none"/>
              </w:rPr>
              <w:t>姓名</w:t>
            </w:r>
          </w:p>
        </w:tc>
        <w:tc>
          <w:tcPr>
            <w:tcW w:w="432" w:type="pct"/>
            <w:vMerge w:val="restart"/>
            <w:vAlign w:val="center"/>
          </w:tcPr>
          <w:p>
            <w:pPr>
              <w:spacing w:line="440" w:lineRule="atLeast"/>
              <w:jc w:val="center"/>
              <w:rPr>
                <w:highlight w:val="none"/>
              </w:rPr>
            </w:pPr>
            <w:r>
              <w:rPr>
                <w:highlight w:val="none"/>
              </w:rPr>
              <w:t>技术职称</w:t>
            </w:r>
          </w:p>
        </w:tc>
        <w:tc>
          <w:tcPr>
            <w:tcW w:w="304" w:type="pct"/>
            <w:vMerge w:val="restart"/>
            <w:vAlign w:val="center"/>
          </w:tcPr>
          <w:p>
            <w:pPr>
              <w:spacing w:line="440" w:lineRule="atLeast"/>
              <w:jc w:val="center"/>
              <w:rPr>
                <w:highlight w:val="none"/>
              </w:rPr>
            </w:pPr>
            <w:r>
              <w:rPr>
                <w:highlight w:val="none"/>
              </w:rPr>
              <w:t>专业</w:t>
            </w:r>
          </w:p>
        </w:tc>
        <w:tc>
          <w:tcPr>
            <w:tcW w:w="1691" w:type="pct"/>
            <w:gridSpan w:val="3"/>
            <w:vAlign w:val="center"/>
          </w:tcPr>
          <w:p>
            <w:pPr>
              <w:spacing w:line="440" w:lineRule="atLeast"/>
              <w:jc w:val="center"/>
              <w:rPr>
                <w:highlight w:val="none"/>
              </w:rPr>
            </w:pPr>
            <w:r>
              <w:rPr>
                <w:highlight w:val="none"/>
              </w:rPr>
              <w:t>执业或职业资格证明</w:t>
            </w:r>
          </w:p>
        </w:tc>
        <w:tc>
          <w:tcPr>
            <w:tcW w:w="706" w:type="pct"/>
            <w:vMerge w:val="restart"/>
            <w:vAlign w:val="center"/>
          </w:tcPr>
          <w:p>
            <w:pPr>
              <w:spacing w:line="440" w:lineRule="atLeast"/>
              <w:jc w:val="center"/>
              <w:rPr>
                <w:highlight w:val="none"/>
              </w:rPr>
            </w:pPr>
            <w:r>
              <w:rPr>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vMerge w:val="continue"/>
            <w:vAlign w:val="center"/>
          </w:tcPr>
          <w:p>
            <w:pPr>
              <w:spacing w:line="440" w:lineRule="atLeast"/>
              <w:rPr>
                <w:highlight w:val="none"/>
              </w:rPr>
            </w:pPr>
          </w:p>
        </w:tc>
        <w:tc>
          <w:tcPr>
            <w:tcW w:w="794" w:type="pct"/>
            <w:vMerge w:val="continue"/>
          </w:tcPr>
          <w:p>
            <w:pPr>
              <w:spacing w:line="440" w:lineRule="atLeast"/>
              <w:rPr>
                <w:highlight w:val="none"/>
              </w:rPr>
            </w:pPr>
          </w:p>
        </w:tc>
        <w:tc>
          <w:tcPr>
            <w:tcW w:w="561" w:type="pct"/>
            <w:vMerge w:val="continue"/>
            <w:vAlign w:val="center"/>
          </w:tcPr>
          <w:p>
            <w:pPr>
              <w:spacing w:line="440" w:lineRule="atLeast"/>
              <w:rPr>
                <w:highlight w:val="none"/>
              </w:rPr>
            </w:pPr>
          </w:p>
        </w:tc>
        <w:tc>
          <w:tcPr>
            <w:tcW w:w="432" w:type="pct"/>
            <w:vMerge w:val="continue"/>
            <w:vAlign w:val="center"/>
          </w:tcPr>
          <w:p>
            <w:pPr>
              <w:spacing w:line="440" w:lineRule="atLeast"/>
              <w:rPr>
                <w:highlight w:val="none"/>
              </w:rPr>
            </w:pPr>
          </w:p>
        </w:tc>
        <w:tc>
          <w:tcPr>
            <w:tcW w:w="304" w:type="pct"/>
            <w:vMerge w:val="continue"/>
            <w:vAlign w:val="center"/>
          </w:tcPr>
          <w:p>
            <w:pPr>
              <w:spacing w:line="440" w:lineRule="atLeast"/>
              <w:jc w:val="center"/>
              <w:rPr>
                <w:highlight w:val="none"/>
              </w:rPr>
            </w:pPr>
          </w:p>
        </w:tc>
        <w:tc>
          <w:tcPr>
            <w:tcW w:w="706" w:type="pct"/>
            <w:vAlign w:val="center"/>
          </w:tcPr>
          <w:p>
            <w:pPr>
              <w:spacing w:before="100" w:beforeAutospacing="1" w:after="100" w:afterAutospacing="1" w:line="440" w:lineRule="atLeast"/>
              <w:jc w:val="center"/>
              <w:rPr>
                <w:highlight w:val="none"/>
              </w:rPr>
            </w:pPr>
            <w:r>
              <w:rPr>
                <w:highlight w:val="none"/>
              </w:rPr>
              <w:t>证书名称</w:t>
            </w:r>
          </w:p>
        </w:tc>
        <w:tc>
          <w:tcPr>
            <w:tcW w:w="441" w:type="pct"/>
            <w:vAlign w:val="center"/>
          </w:tcPr>
          <w:p>
            <w:pPr>
              <w:spacing w:before="100" w:beforeAutospacing="1" w:after="100" w:afterAutospacing="1" w:line="440" w:lineRule="atLeast"/>
              <w:jc w:val="center"/>
              <w:rPr>
                <w:highlight w:val="none"/>
              </w:rPr>
            </w:pPr>
            <w:r>
              <w:rPr>
                <w:highlight w:val="none"/>
              </w:rPr>
              <w:t>级别</w:t>
            </w:r>
          </w:p>
        </w:tc>
        <w:tc>
          <w:tcPr>
            <w:tcW w:w="543" w:type="pct"/>
            <w:vAlign w:val="center"/>
          </w:tcPr>
          <w:p>
            <w:pPr>
              <w:spacing w:before="100" w:beforeAutospacing="1" w:after="100" w:afterAutospacing="1" w:line="440" w:lineRule="atLeast"/>
              <w:jc w:val="center"/>
              <w:rPr>
                <w:highlight w:val="none"/>
              </w:rPr>
            </w:pPr>
            <w:r>
              <w:rPr>
                <w:highlight w:val="none"/>
              </w:rPr>
              <w:t>证号</w:t>
            </w:r>
          </w:p>
        </w:tc>
        <w:tc>
          <w:tcPr>
            <w:tcW w:w="706" w:type="pct"/>
            <w:vMerge w:val="continue"/>
            <w:vAlign w:val="center"/>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vAlign w:val="center"/>
          </w:tcPr>
          <w:p>
            <w:pPr>
              <w:spacing w:line="440" w:lineRule="atLeast"/>
              <w:jc w:val="center"/>
              <w:rPr>
                <w:highlight w:val="none"/>
              </w:rPr>
            </w:pPr>
          </w:p>
        </w:tc>
        <w:tc>
          <w:tcPr>
            <w:tcW w:w="794" w:type="pct"/>
          </w:tcPr>
          <w:p>
            <w:pPr>
              <w:spacing w:line="440" w:lineRule="atLeast"/>
              <w:jc w:val="center"/>
              <w:rPr>
                <w:highlight w:val="none"/>
              </w:rPr>
            </w:pPr>
          </w:p>
        </w:tc>
        <w:tc>
          <w:tcPr>
            <w:tcW w:w="561" w:type="pct"/>
            <w:vAlign w:val="center"/>
          </w:tcPr>
          <w:p>
            <w:pPr>
              <w:spacing w:line="440" w:lineRule="atLeast"/>
              <w:jc w:val="center"/>
              <w:rPr>
                <w:highlight w:val="none"/>
              </w:rPr>
            </w:pPr>
          </w:p>
        </w:tc>
        <w:tc>
          <w:tcPr>
            <w:tcW w:w="432" w:type="pct"/>
            <w:vAlign w:val="center"/>
          </w:tcPr>
          <w:p>
            <w:pPr>
              <w:spacing w:line="440" w:lineRule="atLeast"/>
              <w:jc w:val="center"/>
              <w:rPr>
                <w:highlight w:val="none"/>
              </w:rPr>
            </w:pPr>
          </w:p>
        </w:tc>
        <w:tc>
          <w:tcPr>
            <w:tcW w:w="304" w:type="pct"/>
            <w:vAlign w:val="center"/>
          </w:tcPr>
          <w:p>
            <w:pPr>
              <w:spacing w:line="440" w:lineRule="atLeast"/>
              <w:jc w:val="center"/>
              <w:rPr>
                <w:highlight w:val="none"/>
              </w:rPr>
            </w:pPr>
          </w:p>
        </w:tc>
        <w:tc>
          <w:tcPr>
            <w:tcW w:w="706" w:type="pct"/>
            <w:vAlign w:val="center"/>
          </w:tcPr>
          <w:p>
            <w:pPr>
              <w:spacing w:line="440" w:lineRule="atLeast"/>
              <w:jc w:val="center"/>
              <w:rPr>
                <w:highlight w:val="none"/>
              </w:rPr>
            </w:pPr>
          </w:p>
        </w:tc>
        <w:tc>
          <w:tcPr>
            <w:tcW w:w="441" w:type="pct"/>
            <w:vAlign w:val="center"/>
          </w:tcPr>
          <w:p>
            <w:pPr>
              <w:spacing w:line="440" w:lineRule="atLeast"/>
              <w:jc w:val="center"/>
              <w:rPr>
                <w:highlight w:val="none"/>
              </w:rPr>
            </w:pPr>
          </w:p>
        </w:tc>
        <w:tc>
          <w:tcPr>
            <w:tcW w:w="543" w:type="pct"/>
            <w:vAlign w:val="center"/>
          </w:tcPr>
          <w:p>
            <w:pPr>
              <w:spacing w:line="440" w:lineRule="atLeast"/>
              <w:jc w:val="center"/>
              <w:rPr>
                <w:highlight w:val="none"/>
              </w:rPr>
            </w:pPr>
          </w:p>
        </w:tc>
        <w:tc>
          <w:tcPr>
            <w:tcW w:w="706" w:type="pct"/>
            <w:vAlign w:val="center"/>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pct"/>
          </w:tcPr>
          <w:p>
            <w:pPr>
              <w:spacing w:line="440" w:lineRule="atLeast"/>
              <w:jc w:val="center"/>
              <w:rPr>
                <w:highlight w:val="none"/>
              </w:rPr>
            </w:pPr>
          </w:p>
        </w:tc>
        <w:tc>
          <w:tcPr>
            <w:tcW w:w="794" w:type="pct"/>
          </w:tcPr>
          <w:p>
            <w:pPr>
              <w:spacing w:line="440" w:lineRule="atLeast"/>
              <w:jc w:val="center"/>
              <w:rPr>
                <w:highlight w:val="none"/>
              </w:rPr>
            </w:pPr>
          </w:p>
        </w:tc>
        <w:tc>
          <w:tcPr>
            <w:tcW w:w="561" w:type="pct"/>
          </w:tcPr>
          <w:p>
            <w:pPr>
              <w:spacing w:line="440" w:lineRule="atLeast"/>
              <w:jc w:val="center"/>
              <w:rPr>
                <w:highlight w:val="none"/>
              </w:rPr>
            </w:pPr>
          </w:p>
        </w:tc>
        <w:tc>
          <w:tcPr>
            <w:tcW w:w="432" w:type="pct"/>
          </w:tcPr>
          <w:p>
            <w:pPr>
              <w:spacing w:line="440" w:lineRule="atLeast"/>
              <w:jc w:val="center"/>
              <w:rPr>
                <w:highlight w:val="none"/>
              </w:rPr>
            </w:pPr>
          </w:p>
        </w:tc>
        <w:tc>
          <w:tcPr>
            <w:tcW w:w="304" w:type="pct"/>
          </w:tcPr>
          <w:p>
            <w:pPr>
              <w:spacing w:line="440" w:lineRule="atLeast"/>
              <w:jc w:val="center"/>
              <w:rPr>
                <w:highlight w:val="none"/>
              </w:rPr>
            </w:pPr>
          </w:p>
        </w:tc>
        <w:tc>
          <w:tcPr>
            <w:tcW w:w="706" w:type="pct"/>
          </w:tcPr>
          <w:p>
            <w:pPr>
              <w:spacing w:line="440" w:lineRule="atLeast"/>
              <w:jc w:val="center"/>
              <w:rPr>
                <w:highlight w:val="none"/>
              </w:rPr>
            </w:pPr>
          </w:p>
        </w:tc>
        <w:tc>
          <w:tcPr>
            <w:tcW w:w="441" w:type="pct"/>
          </w:tcPr>
          <w:p>
            <w:pPr>
              <w:spacing w:line="440" w:lineRule="atLeast"/>
              <w:jc w:val="center"/>
              <w:rPr>
                <w:highlight w:val="none"/>
              </w:rPr>
            </w:pPr>
          </w:p>
        </w:tc>
        <w:tc>
          <w:tcPr>
            <w:tcW w:w="543" w:type="pct"/>
          </w:tcPr>
          <w:p>
            <w:pPr>
              <w:spacing w:line="440" w:lineRule="atLeast"/>
              <w:jc w:val="center"/>
              <w:rPr>
                <w:highlight w:val="none"/>
              </w:rPr>
            </w:pPr>
          </w:p>
        </w:tc>
        <w:tc>
          <w:tcPr>
            <w:tcW w:w="706" w:type="pct"/>
          </w:tcPr>
          <w:p>
            <w:pPr>
              <w:spacing w:line="440" w:lineRule="atLeast"/>
              <w:jc w:val="center"/>
              <w:rPr>
                <w:highlight w:val="none"/>
              </w:rPr>
            </w:pPr>
          </w:p>
        </w:tc>
      </w:tr>
    </w:tbl>
    <w:p>
      <w:pPr>
        <w:pStyle w:val="12"/>
        <w:spacing w:after="0" w:line="440" w:lineRule="atLeast"/>
        <w:ind w:left="735" w:leftChars="0" w:hanging="735" w:hangingChars="350"/>
        <w:rPr>
          <w:szCs w:val="21"/>
          <w:highlight w:val="none"/>
        </w:rPr>
      </w:pPr>
      <w:r>
        <w:rPr>
          <w:szCs w:val="21"/>
          <w:highlight w:val="none"/>
        </w:rPr>
        <w:t>注：本表填报的人员应满足招标文件第二章“投标人须知”前附表附录5的要求。</w:t>
      </w:r>
    </w:p>
    <w:p>
      <w:pPr>
        <w:pStyle w:val="12"/>
        <w:spacing w:after="0" w:line="440" w:lineRule="atLeast"/>
        <w:ind w:left="630" w:hanging="210" w:hangingChars="100"/>
        <w:rPr>
          <w:bCs/>
          <w:kern w:val="0"/>
          <w:szCs w:val="21"/>
          <w:highlight w:val="none"/>
        </w:rPr>
      </w:pPr>
    </w:p>
    <w:p>
      <w:pPr>
        <w:spacing w:line="440" w:lineRule="atLeast"/>
        <w:jc w:val="center"/>
        <w:rPr>
          <w:rFonts w:eastAsia="黑体"/>
          <w:sz w:val="28"/>
          <w:highlight w:val="none"/>
        </w:rPr>
      </w:pPr>
    </w:p>
    <w:p>
      <w:pPr>
        <w:spacing w:line="440" w:lineRule="atLeast"/>
        <w:jc w:val="center"/>
        <w:rPr>
          <w:rFonts w:eastAsia="黑体"/>
          <w:sz w:val="24"/>
          <w:szCs w:val="24"/>
          <w:highlight w:val="none"/>
        </w:rPr>
      </w:pPr>
      <w:bookmarkStart w:id="936" w:name="_Toc7113"/>
    </w:p>
    <w:p>
      <w:pPr>
        <w:spacing w:line="440" w:lineRule="atLeast"/>
        <w:jc w:val="center"/>
        <w:rPr>
          <w:rFonts w:eastAsia="黑体"/>
          <w:sz w:val="24"/>
          <w:szCs w:val="24"/>
          <w:highlight w:val="none"/>
        </w:rPr>
      </w:pPr>
      <w:r>
        <w:rPr>
          <w:rFonts w:eastAsia="黑体"/>
          <w:sz w:val="24"/>
          <w:szCs w:val="24"/>
          <w:highlight w:val="none"/>
        </w:rPr>
        <w:t>（七）拟委任的其他主要</w:t>
      </w:r>
      <w:r>
        <w:rPr>
          <w:rFonts w:hint="eastAsia" w:eastAsia="黑体"/>
          <w:sz w:val="24"/>
          <w:szCs w:val="24"/>
          <w:highlight w:val="none"/>
        </w:rPr>
        <w:t>服务</w:t>
      </w:r>
      <w:r>
        <w:rPr>
          <w:rFonts w:eastAsia="黑体"/>
          <w:sz w:val="24"/>
          <w:szCs w:val="24"/>
          <w:highlight w:val="none"/>
        </w:rPr>
        <w:t>人员资历表</w:t>
      </w:r>
      <w:r>
        <w:rPr>
          <w:rFonts w:eastAsia="黑体"/>
          <w:sz w:val="24"/>
          <w:szCs w:val="24"/>
          <w:highlight w:val="none"/>
          <w:vertAlign w:val="superscript"/>
        </w:rPr>
        <w:footnoteReference w:id="20"/>
      </w:r>
      <w:bookmarkEnd w:id="936"/>
    </w:p>
    <w:p>
      <w:pPr>
        <w:widowControl/>
        <w:autoSpaceDE w:val="0"/>
        <w:autoSpaceDN w:val="0"/>
        <w:spacing w:line="440" w:lineRule="atLeast"/>
        <w:jc w:val="center"/>
        <w:textAlignment w:val="bottom"/>
        <w:rPr>
          <w:highlight w:val="none"/>
        </w:rPr>
      </w:pPr>
    </w:p>
    <w:tbl>
      <w:tblPr>
        <w:tblStyle w:val="3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1330"/>
        <w:gridCol w:w="54"/>
        <w:gridCol w:w="1241"/>
        <w:gridCol w:w="326"/>
        <w:gridCol w:w="1143"/>
        <w:gridCol w:w="1489"/>
        <w:gridCol w:w="367"/>
        <w:gridCol w:w="1660"/>
        <w:gridCol w:w="420"/>
        <w:gridCol w:w="13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60" w:hRule="atLeast"/>
        </w:trPr>
        <w:tc>
          <w:tcPr>
            <w:tcW w:w="707" w:type="pct"/>
            <w:tcBorders>
              <w:top w:val="single" w:color="auto" w:sz="4" w:space="0"/>
              <w:left w:val="single" w:color="auto" w:sz="4" w:space="0"/>
              <w:bottom w:val="single" w:color="auto" w:sz="4" w:space="0"/>
              <w:right w:val="single" w:color="auto" w:sz="4" w:space="0"/>
            </w:tcBorders>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姓    名</w:t>
            </w:r>
          </w:p>
        </w:tc>
        <w:tc>
          <w:tcPr>
            <w:tcW w:w="861" w:type="pct"/>
            <w:gridSpan w:val="3"/>
            <w:tcBorders>
              <w:top w:val="single" w:color="auto" w:sz="4" w:space="0"/>
              <w:left w:val="single" w:color="auto" w:sz="4" w:space="0"/>
              <w:bottom w:val="single" w:color="auto" w:sz="4" w:space="0"/>
              <w:right w:val="single" w:color="auto" w:sz="4" w:space="0"/>
            </w:tcBorders>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607" w:type="pct"/>
            <w:tcBorders>
              <w:top w:val="single" w:color="auto" w:sz="4" w:space="0"/>
              <w:left w:val="single" w:color="auto" w:sz="4" w:space="0"/>
              <w:bottom w:val="single" w:color="auto" w:sz="4" w:space="0"/>
              <w:right w:val="single" w:color="auto" w:sz="4" w:space="0"/>
            </w:tcBorders>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年    龄</w:t>
            </w:r>
          </w:p>
        </w:tc>
        <w:tc>
          <w:tcPr>
            <w:tcW w:w="791" w:type="pct"/>
            <w:tcBorders>
              <w:top w:val="single" w:color="auto" w:sz="4" w:space="0"/>
              <w:left w:val="single" w:color="auto" w:sz="4" w:space="0"/>
              <w:bottom w:val="single" w:color="auto" w:sz="4" w:space="0"/>
              <w:right w:val="single" w:color="auto" w:sz="4" w:space="0"/>
            </w:tcBorders>
          </w:tcPr>
          <w:p>
            <w:pPr>
              <w:widowControl/>
              <w:autoSpaceDE w:val="0"/>
              <w:autoSpaceDN w:val="0"/>
              <w:spacing w:before="78" w:beforeLines="25" w:after="78" w:afterLines="25" w:line="440" w:lineRule="atLeast"/>
              <w:jc w:val="center"/>
              <w:textAlignment w:val="bottom"/>
              <w:rPr>
                <w:szCs w:val="21"/>
                <w:highlight w:val="none"/>
              </w:rPr>
            </w:pPr>
          </w:p>
        </w:tc>
        <w:tc>
          <w:tcPr>
            <w:tcW w:w="1077" w:type="pct"/>
            <w:gridSpan w:val="2"/>
            <w:tcBorders>
              <w:top w:val="single" w:color="auto" w:sz="4" w:space="0"/>
              <w:left w:val="single" w:color="auto" w:sz="4" w:space="0"/>
              <w:bottom w:val="single" w:color="auto" w:sz="4" w:space="0"/>
              <w:right w:val="single" w:color="auto" w:sz="4" w:space="0"/>
            </w:tcBorders>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执业或职业资格证书名称</w:t>
            </w:r>
          </w:p>
        </w:tc>
        <w:tc>
          <w:tcPr>
            <w:tcW w:w="957" w:type="pct"/>
            <w:gridSpan w:val="2"/>
            <w:tcBorders>
              <w:top w:val="single" w:color="auto" w:sz="4" w:space="0"/>
              <w:left w:val="single" w:color="auto" w:sz="4" w:space="0"/>
              <w:bottom w:val="single" w:color="auto" w:sz="4" w:space="0"/>
              <w:right w:val="single" w:color="auto" w:sz="4" w:space="0"/>
            </w:tcBorders>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60" w:hRule="atLeast"/>
        </w:trPr>
        <w:tc>
          <w:tcPr>
            <w:tcW w:w="707" w:type="pct"/>
            <w:tcBorders>
              <w:top w:val="single" w:color="auto" w:sz="4" w:space="0"/>
              <w:left w:val="single" w:color="auto" w:sz="4" w:space="0"/>
              <w:bottom w:val="single" w:color="auto" w:sz="4" w:space="0"/>
              <w:right w:val="single" w:color="auto" w:sz="4" w:space="0"/>
            </w:tcBorders>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技术职称</w:t>
            </w:r>
          </w:p>
        </w:tc>
        <w:tc>
          <w:tcPr>
            <w:tcW w:w="861" w:type="pct"/>
            <w:gridSpan w:val="3"/>
            <w:tcBorders>
              <w:top w:val="single" w:color="auto" w:sz="4" w:space="0"/>
              <w:left w:val="single" w:color="auto" w:sz="4" w:space="0"/>
              <w:bottom w:val="single" w:color="auto" w:sz="4" w:space="0"/>
              <w:right w:val="single" w:color="auto" w:sz="4" w:space="0"/>
            </w:tcBorders>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607" w:type="pct"/>
            <w:tcBorders>
              <w:top w:val="single" w:color="auto" w:sz="4" w:space="0"/>
              <w:left w:val="single" w:color="auto" w:sz="4" w:space="0"/>
              <w:bottom w:val="single" w:color="auto" w:sz="4" w:space="0"/>
              <w:right w:val="single" w:color="auto" w:sz="4" w:space="0"/>
            </w:tcBorders>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学    历</w:t>
            </w:r>
          </w:p>
        </w:tc>
        <w:tc>
          <w:tcPr>
            <w:tcW w:w="791" w:type="pct"/>
            <w:tcBorders>
              <w:top w:val="single" w:color="auto" w:sz="4" w:space="0"/>
              <w:left w:val="single" w:color="auto" w:sz="4" w:space="0"/>
              <w:bottom w:val="single" w:color="auto" w:sz="4" w:space="0"/>
              <w:right w:val="single" w:color="auto" w:sz="4" w:space="0"/>
            </w:tcBorders>
          </w:tcPr>
          <w:p>
            <w:pPr>
              <w:widowControl/>
              <w:autoSpaceDE w:val="0"/>
              <w:autoSpaceDN w:val="0"/>
              <w:spacing w:before="78" w:beforeLines="25" w:after="78" w:afterLines="25" w:line="440" w:lineRule="atLeast"/>
              <w:jc w:val="center"/>
              <w:textAlignment w:val="bottom"/>
              <w:rPr>
                <w:szCs w:val="21"/>
                <w:highlight w:val="none"/>
              </w:rPr>
            </w:pPr>
          </w:p>
        </w:tc>
        <w:tc>
          <w:tcPr>
            <w:tcW w:w="1077" w:type="pct"/>
            <w:gridSpan w:val="2"/>
            <w:tcBorders>
              <w:top w:val="single" w:color="auto" w:sz="4" w:space="0"/>
              <w:left w:val="single" w:color="auto" w:sz="4" w:space="0"/>
              <w:bottom w:val="single" w:color="auto" w:sz="4" w:space="0"/>
              <w:right w:val="single" w:color="auto" w:sz="4" w:space="0"/>
            </w:tcBorders>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拟在本标段</w:t>
            </w:r>
          </w:p>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工程任职</w:t>
            </w:r>
          </w:p>
        </w:tc>
        <w:tc>
          <w:tcPr>
            <w:tcW w:w="957" w:type="pct"/>
            <w:gridSpan w:val="2"/>
            <w:tcBorders>
              <w:top w:val="single" w:color="auto" w:sz="4" w:space="0"/>
              <w:left w:val="single" w:color="auto" w:sz="4" w:space="0"/>
              <w:bottom w:val="single" w:color="auto" w:sz="4" w:space="0"/>
              <w:right w:val="single" w:color="auto" w:sz="4" w:space="0"/>
            </w:tcBorders>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07"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工作年限</w:t>
            </w:r>
          </w:p>
        </w:tc>
        <w:tc>
          <w:tcPr>
            <w:tcW w:w="2259"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077"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r>
              <w:rPr>
                <w:highlight w:val="none"/>
              </w:rPr>
              <w:t>从事</w:t>
            </w:r>
            <w:r>
              <w:rPr>
                <w:rFonts w:hint="eastAsia"/>
                <w:highlight w:val="none"/>
              </w:rPr>
              <w:t>服务</w:t>
            </w:r>
            <w:r>
              <w:rPr>
                <w:highlight w:val="none"/>
              </w:rPr>
              <w:t>工作年限</w:t>
            </w:r>
          </w:p>
        </w:tc>
        <w:tc>
          <w:tcPr>
            <w:tcW w:w="957" w:type="pct"/>
            <w:gridSpan w:val="2"/>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03" w:hRule="atLeast"/>
        </w:trPr>
        <w:tc>
          <w:tcPr>
            <w:tcW w:w="707"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毕业学校</w:t>
            </w:r>
          </w:p>
        </w:tc>
        <w:tc>
          <w:tcPr>
            <w:tcW w:w="4293" w:type="pct"/>
            <w:gridSpan w:val="9"/>
            <w:vAlign w:val="center"/>
          </w:tcPr>
          <w:p>
            <w:pPr>
              <w:widowControl/>
              <w:autoSpaceDE w:val="0"/>
              <w:autoSpaceDN w:val="0"/>
              <w:spacing w:before="78" w:beforeLines="25" w:after="78" w:afterLines="25" w:line="440" w:lineRule="atLeast"/>
              <w:ind w:left="-187" w:leftChars="-89"/>
              <w:jc w:val="center"/>
              <w:textAlignment w:val="bottom"/>
              <w:rPr>
                <w:szCs w:val="21"/>
                <w:highlight w:val="none"/>
              </w:rPr>
            </w:pPr>
            <w:r>
              <w:rPr>
                <w:szCs w:val="21"/>
                <w:highlight w:val="none"/>
              </w:rPr>
              <w:t>______年___月毕业于___________________学校___________专业，学制______年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5000" w:type="pct"/>
            <w:gridSpan w:val="10"/>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经         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r>
              <w:rPr>
                <w:highlight w:val="none"/>
              </w:rPr>
              <w:t>时  间</w:t>
            </w:r>
          </w:p>
        </w:tc>
        <w:tc>
          <w:tcPr>
            <w:tcW w:w="2425" w:type="pct"/>
            <w:gridSpan w:val="5"/>
            <w:vAlign w:val="center"/>
          </w:tcPr>
          <w:p>
            <w:pPr>
              <w:pStyle w:val="133"/>
              <w:widowControl/>
              <w:adjustRightInd/>
              <w:snapToGrid/>
              <w:spacing w:before="78" w:beforeLines="25" w:after="78" w:afterLines="25" w:line="440" w:lineRule="atLeast"/>
              <w:textAlignment w:val="bottom"/>
              <w:rPr>
                <w:spacing w:val="0"/>
                <w:kern w:val="2"/>
                <w:szCs w:val="21"/>
                <w:highlight w:val="none"/>
              </w:rPr>
            </w:pPr>
            <w:r>
              <w:rPr>
                <w:spacing w:val="0"/>
                <w:kern w:val="2"/>
                <w:szCs w:val="21"/>
                <w:highlight w:val="none"/>
              </w:rPr>
              <w:t>参加过的类似工程项目名称</w:t>
            </w:r>
          </w:p>
        </w:tc>
        <w:tc>
          <w:tcPr>
            <w:tcW w:w="1105" w:type="pct"/>
            <w:gridSpan w:val="2"/>
            <w:vAlign w:val="center"/>
          </w:tcPr>
          <w:p>
            <w:pPr>
              <w:pStyle w:val="133"/>
              <w:widowControl/>
              <w:adjustRightInd/>
              <w:snapToGrid/>
              <w:spacing w:before="78" w:beforeLines="25" w:after="78" w:afterLines="25" w:line="440" w:lineRule="atLeast"/>
              <w:textAlignment w:val="bottom"/>
              <w:rPr>
                <w:spacing w:val="0"/>
                <w:kern w:val="2"/>
                <w:szCs w:val="21"/>
                <w:highlight w:val="none"/>
              </w:rPr>
            </w:pPr>
            <w:r>
              <w:rPr>
                <w:spacing w:val="0"/>
                <w:kern w:val="2"/>
                <w:szCs w:val="21"/>
                <w:highlight w:val="none"/>
              </w:rPr>
              <w:t>担任职务</w:t>
            </w:r>
          </w:p>
        </w:tc>
        <w:tc>
          <w:tcPr>
            <w:tcW w:w="734" w:type="pct"/>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委托人及联系电话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4"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4"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4"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4"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4"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4"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736" w:type="pct"/>
            <w:gridSpan w:val="2"/>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2425" w:type="pct"/>
            <w:gridSpan w:val="5"/>
            <w:vAlign w:val="center"/>
          </w:tcPr>
          <w:p>
            <w:pPr>
              <w:widowControl/>
              <w:autoSpaceDE w:val="0"/>
              <w:autoSpaceDN w:val="0"/>
              <w:spacing w:before="78" w:beforeLines="25" w:after="78" w:afterLines="25" w:line="440" w:lineRule="atLeast"/>
              <w:jc w:val="center"/>
              <w:textAlignment w:val="bottom"/>
              <w:rPr>
                <w:szCs w:val="21"/>
                <w:highlight w:val="none"/>
              </w:rPr>
            </w:pPr>
          </w:p>
        </w:tc>
        <w:tc>
          <w:tcPr>
            <w:tcW w:w="1105" w:type="pct"/>
            <w:gridSpan w:val="2"/>
          </w:tcPr>
          <w:p>
            <w:pPr>
              <w:widowControl/>
              <w:autoSpaceDE w:val="0"/>
              <w:autoSpaceDN w:val="0"/>
              <w:spacing w:before="78" w:beforeLines="25" w:after="78" w:afterLines="25" w:line="440" w:lineRule="atLeast"/>
              <w:textAlignment w:val="bottom"/>
              <w:rPr>
                <w:szCs w:val="21"/>
                <w:highlight w:val="none"/>
              </w:rPr>
            </w:pPr>
          </w:p>
        </w:tc>
        <w:tc>
          <w:tcPr>
            <w:tcW w:w="734" w:type="pct"/>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1395" w:type="pct"/>
            <w:gridSpan w:val="3"/>
            <w:vAlign w:val="center"/>
          </w:tcPr>
          <w:p>
            <w:pPr>
              <w:widowControl/>
              <w:autoSpaceDE w:val="0"/>
              <w:autoSpaceDN w:val="0"/>
              <w:spacing w:before="78" w:beforeLines="25" w:after="78" w:afterLines="25" w:line="440" w:lineRule="atLeast"/>
              <w:jc w:val="center"/>
              <w:textAlignment w:val="bottom"/>
              <w:rPr>
                <w:szCs w:val="21"/>
                <w:highlight w:val="none"/>
              </w:rPr>
            </w:pPr>
            <w:r>
              <w:rPr>
                <w:szCs w:val="21"/>
                <w:highlight w:val="none"/>
              </w:rPr>
              <w:t>获奖情况</w:t>
            </w:r>
          </w:p>
        </w:tc>
        <w:tc>
          <w:tcPr>
            <w:tcW w:w="3605" w:type="pct"/>
            <w:gridSpan w:val="7"/>
          </w:tcPr>
          <w:p>
            <w:pPr>
              <w:widowControl/>
              <w:autoSpaceDE w:val="0"/>
              <w:autoSpaceDN w:val="0"/>
              <w:spacing w:before="78" w:beforeLines="25" w:after="78" w:afterLines="25" w:line="440" w:lineRule="atLeast"/>
              <w:textAlignment w:val="bottom"/>
              <w:rPr>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1395" w:type="pct"/>
            <w:gridSpan w:val="3"/>
            <w:vAlign w:val="center"/>
          </w:tcPr>
          <w:p>
            <w:pPr>
              <w:widowControl/>
              <w:autoSpaceDE w:val="0"/>
              <w:autoSpaceDN w:val="0"/>
              <w:spacing w:line="440" w:lineRule="atLeast"/>
              <w:jc w:val="center"/>
              <w:textAlignment w:val="bottom"/>
              <w:rPr>
                <w:szCs w:val="21"/>
                <w:highlight w:val="none"/>
              </w:rPr>
            </w:pPr>
            <w:r>
              <w:rPr>
                <w:szCs w:val="21"/>
                <w:highlight w:val="none"/>
              </w:rPr>
              <w:t>备     注</w:t>
            </w:r>
          </w:p>
        </w:tc>
        <w:tc>
          <w:tcPr>
            <w:tcW w:w="3605" w:type="pct"/>
            <w:gridSpan w:val="7"/>
          </w:tcPr>
          <w:p>
            <w:pPr>
              <w:widowControl/>
              <w:autoSpaceDE w:val="0"/>
              <w:autoSpaceDN w:val="0"/>
              <w:spacing w:line="440" w:lineRule="atLeast"/>
              <w:textAlignment w:val="bottom"/>
              <w:rPr>
                <w:szCs w:val="21"/>
                <w:highlight w:val="none"/>
              </w:rPr>
            </w:pPr>
          </w:p>
        </w:tc>
      </w:tr>
    </w:tbl>
    <w:p>
      <w:pPr>
        <w:pStyle w:val="12"/>
        <w:spacing w:after="0" w:line="440" w:lineRule="atLeast"/>
        <w:ind w:left="588" w:leftChars="0" w:right="-61" w:rightChars="-29" w:hanging="588" w:hangingChars="280"/>
        <w:rPr>
          <w:szCs w:val="21"/>
          <w:highlight w:val="none"/>
        </w:rPr>
      </w:pPr>
      <w:r>
        <w:rPr>
          <w:szCs w:val="21"/>
          <w:highlight w:val="none"/>
        </w:rPr>
        <w:t>注：1.本表人员应与表（六）中所列人员相一致。</w:t>
      </w:r>
    </w:p>
    <w:p>
      <w:pPr>
        <w:pStyle w:val="12"/>
        <w:spacing w:after="0" w:line="440" w:lineRule="atLeast"/>
        <w:ind w:left="630" w:hanging="210" w:hangingChars="100"/>
        <w:rPr>
          <w:rFonts w:eastAsia="黑体"/>
          <w:sz w:val="28"/>
          <w:highlight w:val="none"/>
        </w:rPr>
      </w:pPr>
      <w:r>
        <w:rPr>
          <w:bCs/>
          <w:kern w:val="0"/>
          <w:szCs w:val="21"/>
          <w:highlight w:val="none"/>
        </w:rPr>
        <w:t>2.投标人应根据招标文件第二章“投标人须知”第3.5.5项的要求在本表后附相关证明材料。</w:t>
      </w:r>
    </w:p>
    <w:p>
      <w:pPr>
        <w:pStyle w:val="107"/>
        <w:spacing w:before="260" w:after="260" w:line="440" w:lineRule="atLeast"/>
        <w:jc w:val="center"/>
        <w:rPr>
          <w:rFonts w:ascii="Times New Roman" w:hAnsi="Times New Roman" w:eastAsia="黑体"/>
          <w:spacing w:val="1"/>
          <w:sz w:val="32"/>
          <w:szCs w:val="32"/>
          <w:highlight w:val="none"/>
          <w:lang w:eastAsia="zh-CN"/>
        </w:rPr>
      </w:pPr>
      <w:r>
        <w:rPr>
          <w:rFonts w:ascii="Times New Roman" w:hAnsi="Times New Roman" w:eastAsia="黑体"/>
          <w:b/>
          <w:sz w:val="28"/>
          <w:szCs w:val="28"/>
          <w:highlight w:val="none"/>
          <w:lang w:eastAsia="zh-CN"/>
        </w:rPr>
        <w:br w:type="page"/>
      </w:r>
      <w:bookmarkStart w:id="937" w:name="_Toc508886135"/>
      <w:bookmarkStart w:id="938" w:name="_Toc506008234"/>
      <w:bookmarkStart w:id="939" w:name="_Toc513817643"/>
      <w:bookmarkStart w:id="940" w:name="_Toc499646528"/>
      <w:bookmarkStart w:id="941" w:name="_Toc32030"/>
      <w:r>
        <w:rPr>
          <w:rFonts w:ascii="Times New Roman" w:hAnsi="Times New Roman" w:eastAsia="黑体"/>
          <w:sz w:val="28"/>
          <w:szCs w:val="28"/>
          <w:highlight w:val="none"/>
          <w:lang w:eastAsia="zh-CN"/>
        </w:rPr>
        <w:t>六</w:t>
      </w:r>
      <w:r>
        <w:rPr>
          <w:rFonts w:ascii="Times New Roman" w:hAnsi="Times New Roman" w:eastAsia="黑体"/>
          <w:spacing w:val="1"/>
          <w:sz w:val="32"/>
          <w:szCs w:val="32"/>
          <w:highlight w:val="none"/>
          <w:lang w:eastAsia="zh-CN"/>
        </w:rPr>
        <w:t>、</w:t>
      </w:r>
      <w:bookmarkEnd w:id="937"/>
      <w:bookmarkEnd w:id="938"/>
      <w:bookmarkEnd w:id="939"/>
      <w:bookmarkEnd w:id="940"/>
      <w:r>
        <w:rPr>
          <w:rFonts w:ascii="Times New Roman" w:hAnsi="Times New Roman" w:eastAsia="黑体"/>
          <w:spacing w:val="1"/>
          <w:sz w:val="32"/>
          <w:szCs w:val="32"/>
          <w:highlight w:val="none"/>
          <w:lang w:eastAsia="zh-CN"/>
        </w:rPr>
        <w:t>技术建议书</w:t>
      </w:r>
      <w:bookmarkEnd w:id="941"/>
    </w:p>
    <w:p>
      <w:pPr>
        <w:pStyle w:val="134"/>
        <w:spacing w:before="0" w:after="0" w:line="440" w:lineRule="atLeast"/>
        <w:ind w:firstLine="480" w:firstLineChars="200"/>
        <w:jc w:val="left"/>
        <w:rPr>
          <w:rFonts w:ascii="Times New Roman" w:hAnsi="Times New Roman" w:eastAsia="宋体"/>
          <w:sz w:val="24"/>
          <w:szCs w:val="24"/>
          <w:highlight w:val="none"/>
          <w:lang w:eastAsia="zh-CN"/>
        </w:rPr>
      </w:pPr>
    </w:p>
    <w:p>
      <w:pPr>
        <w:pStyle w:val="134"/>
        <w:spacing w:before="0" w:after="0" w:line="440" w:lineRule="atLeast"/>
        <w:ind w:firstLine="480" w:firstLineChars="200"/>
        <w:jc w:val="left"/>
        <w:rPr>
          <w:rFonts w:ascii="Times New Roman" w:hAnsi="Times New Roman" w:eastAsia="宋体"/>
          <w:sz w:val="24"/>
          <w:szCs w:val="24"/>
          <w:highlight w:val="none"/>
          <w:lang w:eastAsia="zh-CN"/>
        </w:rPr>
      </w:pPr>
      <w:r>
        <w:rPr>
          <w:rFonts w:ascii="Times New Roman" w:hAnsi="Times New Roman" w:eastAsia="宋体"/>
          <w:sz w:val="24"/>
          <w:szCs w:val="24"/>
          <w:highlight w:val="none"/>
          <w:lang w:eastAsia="zh-CN"/>
        </w:rPr>
        <w:t>技术建议书应包括（但不限于）下列内容：</w:t>
      </w:r>
    </w:p>
    <w:p>
      <w:pPr>
        <w:spacing w:line="440" w:lineRule="atLeast"/>
        <w:ind w:firstLine="480" w:firstLineChars="200"/>
        <w:rPr>
          <w:sz w:val="24"/>
          <w:highlight w:val="none"/>
        </w:rPr>
      </w:pPr>
      <w:bookmarkStart w:id="942" w:name="_Toc8305"/>
      <w:bookmarkStart w:id="943" w:name="_Toc506008235"/>
      <w:r>
        <w:rPr>
          <w:sz w:val="24"/>
          <w:highlight w:val="none"/>
        </w:rPr>
        <w:t xml:space="preserve">（一） </w:t>
      </w:r>
      <w:r>
        <w:rPr>
          <w:rFonts w:hint="eastAsia"/>
          <w:sz w:val="24"/>
          <w:highlight w:val="none"/>
        </w:rPr>
        <w:t>服务</w:t>
      </w:r>
      <w:r>
        <w:rPr>
          <w:sz w:val="24"/>
          <w:highlight w:val="none"/>
        </w:rPr>
        <w:t>项目概况；</w:t>
      </w:r>
      <w:bookmarkEnd w:id="942"/>
      <w:bookmarkEnd w:id="943"/>
    </w:p>
    <w:p>
      <w:pPr>
        <w:spacing w:line="440" w:lineRule="atLeast"/>
        <w:ind w:firstLine="480" w:firstLineChars="200"/>
        <w:rPr>
          <w:sz w:val="24"/>
          <w:highlight w:val="none"/>
        </w:rPr>
      </w:pPr>
      <w:bookmarkStart w:id="944" w:name="_Toc25076"/>
      <w:bookmarkStart w:id="945" w:name="_Toc506008236"/>
      <w:r>
        <w:rPr>
          <w:sz w:val="24"/>
          <w:highlight w:val="none"/>
        </w:rPr>
        <w:t xml:space="preserve">（二） </w:t>
      </w:r>
      <w:r>
        <w:rPr>
          <w:rFonts w:hint="eastAsia"/>
          <w:sz w:val="24"/>
          <w:highlight w:val="none"/>
        </w:rPr>
        <w:t>服务</w:t>
      </w:r>
      <w:r>
        <w:rPr>
          <w:sz w:val="24"/>
          <w:highlight w:val="none"/>
        </w:rPr>
        <w:t>范围、</w:t>
      </w:r>
      <w:r>
        <w:rPr>
          <w:rFonts w:hint="eastAsia"/>
          <w:sz w:val="24"/>
          <w:highlight w:val="none"/>
        </w:rPr>
        <w:t>服务</w:t>
      </w:r>
      <w:r>
        <w:rPr>
          <w:sz w:val="24"/>
          <w:highlight w:val="none"/>
        </w:rPr>
        <w:t>内容；</w:t>
      </w:r>
      <w:bookmarkEnd w:id="944"/>
      <w:bookmarkEnd w:id="945"/>
    </w:p>
    <w:p>
      <w:pPr>
        <w:spacing w:line="440" w:lineRule="atLeast"/>
        <w:ind w:firstLine="480" w:firstLineChars="200"/>
        <w:rPr>
          <w:sz w:val="24"/>
          <w:highlight w:val="none"/>
        </w:rPr>
      </w:pPr>
      <w:bookmarkStart w:id="946" w:name="_Toc506008237"/>
      <w:bookmarkStart w:id="947" w:name="_Toc22183"/>
      <w:r>
        <w:rPr>
          <w:sz w:val="24"/>
          <w:highlight w:val="none"/>
        </w:rPr>
        <w:t xml:space="preserve">（三） </w:t>
      </w:r>
      <w:r>
        <w:rPr>
          <w:rFonts w:hint="eastAsia"/>
          <w:sz w:val="24"/>
          <w:highlight w:val="none"/>
        </w:rPr>
        <w:t>服务</w:t>
      </w:r>
      <w:r>
        <w:rPr>
          <w:sz w:val="24"/>
          <w:highlight w:val="none"/>
        </w:rPr>
        <w:t>依据、工作目标；</w:t>
      </w:r>
      <w:bookmarkEnd w:id="946"/>
      <w:bookmarkEnd w:id="947"/>
    </w:p>
    <w:p>
      <w:pPr>
        <w:spacing w:line="440" w:lineRule="atLeast"/>
        <w:ind w:firstLine="480" w:firstLineChars="200"/>
        <w:rPr>
          <w:sz w:val="24"/>
          <w:highlight w:val="none"/>
        </w:rPr>
      </w:pPr>
      <w:bookmarkStart w:id="948" w:name="_Toc506008238"/>
      <w:bookmarkStart w:id="949" w:name="_Toc22979"/>
      <w:r>
        <w:rPr>
          <w:sz w:val="24"/>
          <w:highlight w:val="none"/>
        </w:rPr>
        <w:t xml:space="preserve">（四） </w:t>
      </w:r>
      <w:r>
        <w:rPr>
          <w:rFonts w:hint="eastAsia"/>
          <w:sz w:val="24"/>
          <w:highlight w:val="none"/>
        </w:rPr>
        <w:t>服务</w:t>
      </w:r>
      <w:r>
        <w:rPr>
          <w:sz w:val="24"/>
          <w:highlight w:val="none"/>
        </w:rPr>
        <w:t>机构设置（框图）、岗位职责；</w:t>
      </w:r>
      <w:bookmarkEnd w:id="948"/>
      <w:bookmarkEnd w:id="949"/>
    </w:p>
    <w:p>
      <w:pPr>
        <w:spacing w:line="440" w:lineRule="atLeast"/>
        <w:ind w:firstLine="480" w:firstLineChars="200"/>
        <w:rPr>
          <w:sz w:val="24"/>
          <w:highlight w:val="none"/>
        </w:rPr>
      </w:pPr>
      <w:bookmarkStart w:id="950" w:name="_Toc17921"/>
      <w:bookmarkStart w:id="951" w:name="_Toc506008239"/>
      <w:r>
        <w:rPr>
          <w:sz w:val="24"/>
          <w:highlight w:val="none"/>
        </w:rPr>
        <w:t xml:space="preserve">（五） </w:t>
      </w:r>
      <w:r>
        <w:rPr>
          <w:rFonts w:hint="eastAsia"/>
          <w:sz w:val="24"/>
          <w:highlight w:val="none"/>
        </w:rPr>
        <w:t>服务</w:t>
      </w:r>
      <w:r>
        <w:rPr>
          <w:sz w:val="24"/>
          <w:highlight w:val="none"/>
        </w:rPr>
        <w:t>说明和</w:t>
      </w:r>
      <w:r>
        <w:rPr>
          <w:rFonts w:hint="eastAsia"/>
          <w:sz w:val="24"/>
          <w:highlight w:val="none"/>
        </w:rPr>
        <w:t>服务</w:t>
      </w:r>
      <w:r>
        <w:rPr>
          <w:sz w:val="24"/>
          <w:highlight w:val="none"/>
        </w:rPr>
        <w:t>方案；</w:t>
      </w:r>
      <w:bookmarkEnd w:id="950"/>
      <w:bookmarkEnd w:id="951"/>
    </w:p>
    <w:p>
      <w:pPr>
        <w:spacing w:line="440" w:lineRule="atLeast"/>
        <w:ind w:firstLine="480" w:firstLineChars="200"/>
        <w:rPr>
          <w:sz w:val="24"/>
          <w:highlight w:val="none"/>
        </w:rPr>
      </w:pPr>
      <w:bookmarkStart w:id="952" w:name="_Toc506008240"/>
      <w:bookmarkStart w:id="953" w:name="_Toc5377"/>
      <w:r>
        <w:rPr>
          <w:sz w:val="24"/>
          <w:highlight w:val="none"/>
        </w:rPr>
        <w:t>（六） 拟投入的</w:t>
      </w:r>
      <w:r>
        <w:rPr>
          <w:rFonts w:hint="eastAsia"/>
          <w:sz w:val="24"/>
          <w:highlight w:val="none"/>
        </w:rPr>
        <w:t>服务</w:t>
      </w:r>
      <w:r>
        <w:rPr>
          <w:sz w:val="24"/>
          <w:highlight w:val="none"/>
        </w:rPr>
        <w:t>人员；</w:t>
      </w:r>
      <w:bookmarkEnd w:id="952"/>
      <w:bookmarkEnd w:id="953"/>
    </w:p>
    <w:p>
      <w:pPr>
        <w:spacing w:line="440" w:lineRule="atLeast"/>
        <w:ind w:firstLine="480" w:firstLineChars="200"/>
        <w:rPr>
          <w:sz w:val="24"/>
          <w:highlight w:val="none"/>
        </w:rPr>
      </w:pPr>
      <w:bookmarkStart w:id="954" w:name="_Toc506008241"/>
      <w:bookmarkStart w:id="955" w:name="_Toc20360"/>
      <w:r>
        <w:rPr>
          <w:sz w:val="24"/>
          <w:highlight w:val="none"/>
        </w:rPr>
        <w:t xml:space="preserve">（七） </w:t>
      </w:r>
      <w:r>
        <w:rPr>
          <w:rFonts w:hint="eastAsia"/>
          <w:sz w:val="24"/>
          <w:highlight w:val="none"/>
        </w:rPr>
        <w:t>服务</w:t>
      </w:r>
      <w:r>
        <w:rPr>
          <w:sz w:val="24"/>
          <w:highlight w:val="none"/>
        </w:rPr>
        <w:t>质量、进度、保密等保证措施；</w:t>
      </w:r>
      <w:bookmarkEnd w:id="954"/>
      <w:bookmarkEnd w:id="955"/>
    </w:p>
    <w:p>
      <w:pPr>
        <w:spacing w:line="440" w:lineRule="atLeast"/>
        <w:ind w:firstLine="480" w:firstLineChars="200"/>
        <w:rPr>
          <w:sz w:val="24"/>
          <w:highlight w:val="none"/>
        </w:rPr>
      </w:pPr>
      <w:bookmarkStart w:id="956" w:name="_Toc506008242"/>
      <w:bookmarkStart w:id="957" w:name="_Toc16722"/>
      <w:r>
        <w:rPr>
          <w:sz w:val="24"/>
          <w:highlight w:val="none"/>
        </w:rPr>
        <w:t xml:space="preserve">（八） </w:t>
      </w:r>
      <w:r>
        <w:rPr>
          <w:rFonts w:hint="eastAsia"/>
          <w:sz w:val="24"/>
          <w:highlight w:val="none"/>
        </w:rPr>
        <w:t>服务</w:t>
      </w:r>
      <w:r>
        <w:rPr>
          <w:sz w:val="24"/>
          <w:highlight w:val="none"/>
        </w:rPr>
        <w:t>安全保证措施；</w:t>
      </w:r>
      <w:bookmarkEnd w:id="956"/>
      <w:bookmarkEnd w:id="957"/>
    </w:p>
    <w:p>
      <w:pPr>
        <w:spacing w:line="440" w:lineRule="atLeast"/>
        <w:ind w:firstLine="480" w:firstLineChars="200"/>
        <w:rPr>
          <w:sz w:val="24"/>
          <w:highlight w:val="none"/>
        </w:rPr>
      </w:pPr>
      <w:bookmarkStart w:id="958" w:name="_Toc506008243"/>
      <w:bookmarkStart w:id="959" w:name="_Toc3"/>
      <w:r>
        <w:rPr>
          <w:sz w:val="24"/>
          <w:highlight w:val="none"/>
        </w:rPr>
        <w:t xml:space="preserve">（九） </w:t>
      </w:r>
      <w:r>
        <w:rPr>
          <w:rFonts w:hint="eastAsia"/>
          <w:sz w:val="24"/>
          <w:highlight w:val="none"/>
        </w:rPr>
        <w:t>服务</w:t>
      </w:r>
      <w:r>
        <w:rPr>
          <w:sz w:val="24"/>
          <w:highlight w:val="none"/>
        </w:rPr>
        <w:t>工作重点、难点分析；</w:t>
      </w:r>
      <w:bookmarkEnd w:id="958"/>
      <w:bookmarkEnd w:id="959"/>
    </w:p>
    <w:p>
      <w:pPr>
        <w:spacing w:line="440" w:lineRule="atLeast"/>
        <w:ind w:firstLine="480" w:firstLineChars="200"/>
        <w:rPr>
          <w:rFonts w:eastAsia="黑体"/>
          <w:sz w:val="24"/>
          <w:highlight w:val="none"/>
        </w:rPr>
      </w:pPr>
      <w:bookmarkStart w:id="960" w:name="_Toc24371"/>
      <w:bookmarkStart w:id="961" w:name="_Toc506008244"/>
      <w:r>
        <w:rPr>
          <w:sz w:val="24"/>
          <w:highlight w:val="none"/>
        </w:rPr>
        <w:t>（十） 对本项目</w:t>
      </w:r>
      <w:r>
        <w:rPr>
          <w:rFonts w:hint="eastAsia"/>
          <w:sz w:val="24"/>
          <w:highlight w:val="none"/>
        </w:rPr>
        <w:t>服务</w:t>
      </w:r>
      <w:r>
        <w:rPr>
          <w:sz w:val="24"/>
          <w:highlight w:val="none"/>
        </w:rPr>
        <w:t>的合理化建议。</w:t>
      </w:r>
      <w:bookmarkEnd w:id="960"/>
      <w:bookmarkEnd w:id="961"/>
    </w:p>
    <w:p>
      <w:pPr>
        <w:spacing w:before="468" w:beforeLines="150" w:after="312" w:afterLines="100" w:line="440" w:lineRule="atLeast"/>
        <w:jc w:val="center"/>
        <w:rPr>
          <w:rFonts w:eastAsia="黑体"/>
          <w:sz w:val="28"/>
          <w:szCs w:val="28"/>
          <w:highlight w:val="none"/>
        </w:rPr>
      </w:pPr>
      <w:r>
        <w:rPr>
          <w:rFonts w:eastAsia="黑体"/>
          <w:sz w:val="28"/>
          <w:szCs w:val="28"/>
          <w:highlight w:val="none"/>
        </w:rPr>
        <w:br w:type="page"/>
      </w:r>
    </w:p>
    <w:p>
      <w:pPr>
        <w:spacing w:line="440" w:lineRule="atLeast"/>
        <w:jc w:val="center"/>
        <w:rPr>
          <w:rFonts w:eastAsia="黑体"/>
          <w:sz w:val="28"/>
          <w:szCs w:val="28"/>
          <w:highlight w:val="none"/>
        </w:rPr>
      </w:pPr>
      <w:bookmarkStart w:id="962" w:name="_Toc10634"/>
      <w:r>
        <w:rPr>
          <w:rFonts w:eastAsia="黑体"/>
          <w:sz w:val="28"/>
          <w:szCs w:val="28"/>
          <w:highlight w:val="none"/>
        </w:rPr>
        <w:t>七、其他资料</w:t>
      </w:r>
      <w:bookmarkEnd w:id="962"/>
    </w:p>
    <w:p>
      <w:pPr>
        <w:spacing w:before="468" w:beforeLines="150" w:after="312" w:afterLines="100" w:line="440" w:lineRule="atLeast"/>
        <w:jc w:val="center"/>
        <w:rPr>
          <w:sz w:val="24"/>
          <w:highlight w:val="none"/>
        </w:rPr>
      </w:pPr>
      <w:r>
        <w:rPr>
          <w:rFonts w:eastAsia="黑体"/>
          <w:sz w:val="28"/>
          <w:szCs w:val="28"/>
          <w:highlight w:val="none"/>
        </w:rPr>
        <w:br w:type="page"/>
      </w:r>
      <w:r>
        <w:rPr>
          <w:sz w:val="24"/>
          <w:highlight w:val="none"/>
        </w:rPr>
        <w:t xml:space="preserve"> </w:t>
      </w:r>
    </w:p>
    <w:p>
      <w:pPr>
        <w:pStyle w:val="10"/>
        <w:spacing w:line="440" w:lineRule="atLeast"/>
        <w:rPr>
          <w:rFonts w:eastAsia="黑体"/>
          <w:sz w:val="31"/>
          <w:szCs w:val="31"/>
          <w:highlight w:val="none"/>
        </w:rPr>
      </w:pPr>
      <w:r>
        <w:rPr>
          <w:rFonts w:eastAsia="黑体"/>
          <w:sz w:val="31"/>
          <w:szCs w:val="31"/>
          <w:highlight w:val="none"/>
        </w:rPr>
        <w:t>湖南省</w:t>
      </w: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4"/>
          <w:highlight w:val="none"/>
        </w:rPr>
      </w:pPr>
      <w:r>
        <w:rPr>
          <w:rFonts w:eastAsia="黑体"/>
          <w:sz w:val="20"/>
          <w:highlight w:val="none"/>
        </w:rPr>
        <w:t xml:space="preserve">           </w:t>
      </w:r>
      <w:r>
        <w:rPr>
          <w:rFonts w:eastAsia="黑体"/>
          <w:sz w:val="24"/>
          <w:highlight w:val="none"/>
          <w:u w:val="single"/>
        </w:rPr>
        <w:t xml:space="preserve">                  </w:t>
      </w:r>
      <w:r>
        <w:rPr>
          <w:rFonts w:eastAsia="黑体"/>
          <w:sz w:val="24"/>
          <w:highlight w:val="none"/>
        </w:rPr>
        <w:t>（项目名称）</w:t>
      </w:r>
      <w:r>
        <w:rPr>
          <w:rFonts w:eastAsia="黑体"/>
          <w:sz w:val="24"/>
          <w:highlight w:val="none"/>
          <w:u w:val="single"/>
        </w:rPr>
        <w:t xml:space="preserve">          </w:t>
      </w:r>
      <w:r>
        <w:rPr>
          <w:rFonts w:eastAsia="黑体"/>
          <w:sz w:val="24"/>
          <w:highlight w:val="none"/>
        </w:rPr>
        <w:t>标段</w:t>
      </w:r>
      <w:r>
        <w:rPr>
          <w:rFonts w:hint="eastAsia" w:eastAsia="黑体"/>
          <w:sz w:val="24"/>
          <w:highlight w:val="none"/>
        </w:rPr>
        <w:t>服务</w:t>
      </w:r>
      <w:r>
        <w:rPr>
          <w:rFonts w:eastAsia="黑体"/>
          <w:sz w:val="24"/>
          <w:highlight w:val="none"/>
        </w:rPr>
        <w:t>招标</w:t>
      </w:r>
    </w:p>
    <w:p>
      <w:pPr>
        <w:spacing w:line="440" w:lineRule="atLeast"/>
        <w:rPr>
          <w:rFonts w:eastAsia="黑体"/>
          <w:sz w:val="20"/>
          <w:highlight w:val="none"/>
        </w:rPr>
      </w:pPr>
      <w:r>
        <w:rPr>
          <w:rFonts w:eastAsia="黑体"/>
          <w:sz w:val="20"/>
          <w:highlight w:val="none"/>
        </w:rPr>
        <w:t xml:space="preserve"> </w:t>
      </w:r>
    </w:p>
    <w:p>
      <w:pPr>
        <w:spacing w:line="440" w:lineRule="atLeast"/>
        <w:rPr>
          <w:rFonts w:eastAsia="黑体"/>
          <w:sz w:val="40"/>
          <w:szCs w:val="40"/>
          <w:highlight w:val="none"/>
        </w:rPr>
      </w:pPr>
    </w:p>
    <w:p>
      <w:pPr>
        <w:spacing w:line="440" w:lineRule="atLeast"/>
        <w:jc w:val="center"/>
        <w:rPr>
          <w:rFonts w:eastAsia="黑体"/>
          <w:sz w:val="40"/>
          <w:szCs w:val="40"/>
          <w:highlight w:val="none"/>
        </w:rPr>
      </w:pPr>
    </w:p>
    <w:p>
      <w:pPr>
        <w:spacing w:line="440" w:lineRule="atLeast"/>
        <w:jc w:val="center"/>
        <w:rPr>
          <w:rFonts w:eastAsia="黑体"/>
          <w:sz w:val="40"/>
          <w:szCs w:val="40"/>
          <w:highlight w:val="none"/>
        </w:rPr>
      </w:pPr>
    </w:p>
    <w:p>
      <w:pPr>
        <w:spacing w:line="440" w:lineRule="atLeast"/>
        <w:jc w:val="center"/>
        <w:rPr>
          <w:rFonts w:eastAsia="黑体"/>
          <w:sz w:val="40"/>
          <w:szCs w:val="40"/>
          <w:highlight w:val="none"/>
        </w:rPr>
      </w:pPr>
    </w:p>
    <w:p>
      <w:pPr>
        <w:spacing w:before="468" w:beforeLines="150" w:after="624" w:afterLines="200" w:line="440" w:lineRule="atLeast"/>
        <w:jc w:val="center"/>
        <w:rPr>
          <w:rFonts w:eastAsia="黑体"/>
          <w:sz w:val="50"/>
          <w:szCs w:val="50"/>
          <w:highlight w:val="none"/>
        </w:rPr>
      </w:pPr>
      <w:bookmarkStart w:id="963" w:name="_Toc9662"/>
      <w:r>
        <w:rPr>
          <w:rFonts w:eastAsia="黑体"/>
          <w:sz w:val="50"/>
          <w:szCs w:val="50"/>
          <w:highlight w:val="none"/>
        </w:rPr>
        <w:t>投  标  文  件</w:t>
      </w:r>
      <w:bookmarkEnd w:id="963"/>
    </w:p>
    <w:p>
      <w:pPr>
        <w:spacing w:before="468" w:beforeLines="150" w:after="312" w:afterLines="100" w:line="440" w:lineRule="atLeast"/>
        <w:jc w:val="center"/>
        <w:rPr>
          <w:rFonts w:eastAsia="黑体"/>
          <w:sz w:val="36"/>
          <w:szCs w:val="36"/>
          <w:highlight w:val="none"/>
        </w:rPr>
      </w:pPr>
      <w:bookmarkStart w:id="964" w:name="_Toc9896"/>
      <w:r>
        <w:rPr>
          <w:rFonts w:eastAsia="黑体"/>
          <w:sz w:val="36"/>
          <w:szCs w:val="36"/>
          <w:highlight w:val="none"/>
        </w:rPr>
        <w:t>（报价文件）</w:t>
      </w:r>
      <w:bookmarkEnd w:id="964"/>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rPr>
          <w:rFonts w:eastAsia="黑体"/>
          <w:sz w:val="20"/>
          <w:highlight w:val="none"/>
        </w:rPr>
      </w:pPr>
    </w:p>
    <w:p>
      <w:pPr>
        <w:spacing w:line="440" w:lineRule="atLeast"/>
        <w:jc w:val="center"/>
        <w:rPr>
          <w:rFonts w:eastAsia="黑体"/>
          <w:sz w:val="28"/>
          <w:szCs w:val="28"/>
          <w:highlight w:val="none"/>
        </w:rPr>
      </w:pPr>
      <w:r>
        <w:rPr>
          <w:rFonts w:eastAsia="黑体"/>
          <w:sz w:val="28"/>
          <w:szCs w:val="28"/>
          <w:highlight w:val="none"/>
        </w:rPr>
        <w:t>投标人：</w:t>
      </w:r>
      <w:r>
        <w:rPr>
          <w:rFonts w:eastAsia="黑体"/>
          <w:sz w:val="28"/>
          <w:szCs w:val="28"/>
          <w:highlight w:val="none"/>
          <w:u w:val="single"/>
        </w:rPr>
        <w:t xml:space="preserve">                                  </w:t>
      </w:r>
      <w:r>
        <w:rPr>
          <w:rFonts w:eastAsia="黑体"/>
          <w:sz w:val="28"/>
          <w:szCs w:val="28"/>
          <w:highlight w:val="none"/>
        </w:rPr>
        <w:t>(盖单位章)</w:t>
      </w:r>
    </w:p>
    <w:p>
      <w:pPr>
        <w:spacing w:line="440" w:lineRule="atLeast"/>
        <w:rPr>
          <w:rFonts w:eastAsia="黑体"/>
          <w:sz w:val="28"/>
          <w:szCs w:val="28"/>
          <w:highlight w:val="none"/>
        </w:rPr>
      </w:pPr>
    </w:p>
    <w:p>
      <w:pPr>
        <w:spacing w:line="440" w:lineRule="atLeast"/>
        <w:jc w:val="center"/>
        <w:rPr>
          <w:rFonts w:eastAsia="黑体"/>
          <w:sz w:val="28"/>
          <w:szCs w:val="28"/>
          <w:highlight w:val="none"/>
        </w:rPr>
      </w:pPr>
      <w:r>
        <w:rPr>
          <w:rFonts w:eastAsia="黑体"/>
          <w:sz w:val="28"/>
          <w:szCs w:val="28"/>
          <w:highlight w:val="none"/>
          <w:u w:val="single"/>
        </w:rPr>
        <w:t xml:space="preserve">        </w:t>
      </w:r>
      <w:r>
        <w:rPr>
          <w:rFonts w:eastAsia="黑体"/>
          <w:sz w:val="28"/>
          <w:szCs w:val="28"/>
          <w:highlight w:val="none"/>
        </w:rPr>
        <w:t>年</w:t>
      </w:r>
      <w:r>
        <w:rPr>
          <w:rFonts w:eastAsia="黑体"/>
          <w:sz w:val="28"/>
          <w:szCs w:val="28"/>
          <w:highlight w:val="none"/>
          <w:u w:val="single"/>
        </w:rPr>
        <w:t xml:space="preserve">        </w:t>
      </w:r>
      <w:r>
        <w:rPr>
          <w:rFonts w:eastAsia="黑体"/>
          <w:sz w:val="28"/>
          <w:szCs w:val="28"/>
          <w:highlight w:val="none"/>
        </w:rPr>
        <w:t>月</w:t>
      </w:r>
      <w:r>
        <w:rPr>
          <w:rFonts w:eastAsia="黑体"/>
          <w:sz w:val="28"/>
          <w:szCs w:val="28"/>
          <w:highlight w:val="none"/>
          <w:u w:val="single"/>
        </w:rPr>
        <w:t xml:space="preserve">         </w:t>
      </w:r>
      <w:r>
        <w:rPr>
          <w:rFonts w:eastAsia="黑体"/>
          <w:sz w:val="28"/>
          <w:szCs w:val="28"/>
          <w:highlight w:val="none"/>
        </w:rPr>
        <w:t>日</w:t>
      </w:r>
    </w:p>
    <w:p>
      <w:pPr>
        <w:spacing w:line="440" w:lineRule="atLeast"/>
        <w:rPr>
          <w:rFonts w:eastAsia="黑体"/>
          <w:sz w:val="28"/>
          <w:szCs w:val="28"/>
          <w:highlight w:val="none"/>
        </w:rPr>
      </w:pPr>
    </w:p>
    <w:p>
      <w:pPr>
        <w:spacing w:line="440" w:lineRule="atLeast"/>
        <w:jc w:val="center"/>
        <w:rPr>
          <w:rFonts w:eastAsia="黑体"/>
          <w:sz w:val="30"/>
          <w:szCs w:val="30"/>
          <w:highlight w:val="none"/>
        </w:rPr>
      </w:pPr>
    </w:p>
    <w:p>
      <w:pPr>
        <w:spacing w:line="440" w:lineRule="atLeast"/>
        <w:jc w:val="center"/>
        <w:rPr>
          <w:rFonts w:eastAsia="黑体"/>
          <w:sz w:val="24"/>
          <w:highlight w:val="none"/>
        </w:rPr>
      </w:pPr>
      <w:bookmarkStart w:id="965" w:name="_Toc28099"/>
      <w:r>
        <w:rPr>
          <w:rFonts w:eastAsia="黑体"/>
          <w:sz w:val="30"/>
          <w:szCs w:val="30"/>
          <w:highlight w:val="none"/>
        </w:rPr>
        <w:t>目  录</w:t>
      </w:r>
      <w:bookmarkEnd w:id="965"/>
    </w:p>
    <w:p>
      <w:pPr>
        <w:spacing w:line="440" w:lineRule="atLeast"/>
        <w:ind w:left="1613" w:leftChars="607" w:hanging="338" w:hangingChars="121"/>
        <w:rPr>
          <w:rFonts w:eastAsia="黑体"/>
          <w:sz w:val="28"/>
          <w:szCs w:val="28"/>
          <w:highlight w:val="none"/>
        </w:rPr>
      </w:pPr>
      <w:r>
        <w:rPr>
          <w:rFonts w:eastAsia="黑体"/>
          <w:sz w:val="28"/>
          <w:szCs w:val="28"/>
          <w:highlight w:val="none"/>
        </w:rPr>
        <w:t>一、投标函</w:t>
      </w:r>
    </w:p>
    <w:p>
      <w:pPr>
        <w:spacing w:line="440" w:lineRule="atLeast"/>
        <w:ind w:left="1613" w:leftChars="607" w:hanging="338" w:hangingChars="121"/>
        <w:rPr>
          <w:rFonts w:eastAsia="黑体"/>
          <w:sz w:val="28"/>
          <w:szCs w:val="28"/>
          <w:highlight w:val="none"/>
        </w:rPr>
      </w:pPr>
      <w:r>
        <w:rPr>
          <w:rFonts w:eastAsia="黑体"/>
          <w:sz w:val="28"/>
          <w:szCs w:val="28"/>
          <w:highlight w:val="none"/>
        </w:rPr>
        <w:t>二、</w:t>
      </w:r>
      <w:r>
        <w:rPr>
          <w:rFonts w:hint="eastAsia" w:eastAsia="黑体"/>
          <w:sz w:val="28"/>
          <w:szCs w:val="28"/>
          <w:highlight w:val="none"/>
        </w:rPr>
        <w:t>服务</w:t>
      </w:r>
      <w:r>
        <w:rPr>
          <w:rFonts w:eastAsia="黑体"/>
          <w:sz w:val="28"/>
          <w:szCs w:val="28"/>
          <w:highlight w:val="none"/>
        </w:rPr>
        <w:t>费用清单</w:t>
      </w:r>
    </w:p>
    <w:p>
      <w:pPr>
        <w:spacing w:line="440" w:lineRule="atLeast"/>
        <w:jc w:val="center"/>
        <w:rPr>
          <w:rFonts w:eastAsia="黑体"/>
          <w:sz w:val="28"/>
          <w:szCs w:val="28"/>
          <w:highlight w:val="none"/>
        </w:rPr>
      </w:pPr>
      <w:r>
        <w:rPr>
          <w:rFonts w:eastAsia="黑体"/>
          <w:szCs w:val="21"/>
          <w:highlight w:val="none"/>
        </w:rPr>
        <w:br w:type="page"/>
      </w:r>
      <w:bookmarkStart w:id="966" w:name="_Toc31642"/>
      <w:r>
        <w:rPr>
          <w:rFonts w:eastAsia="黑体"/>
          <w:sz w:val="30"/>
          <w:szCs w:val="30"/>
          <w:highlight w:val="none"/>
        </w:rPr>
        <w:t>一、投标函</w:t>
      </w:r>
      <w:bookmarkEnd w:id="966"/>
    </w:p>
    <w:p>
      <w:pPr>
        <w:spacing w:before="312" w:beforeLines="100" w:after="156" w:afterLines="50" w:line="440" w:lineRule="atLeast"/>
        <w:rPr>
          <w:sz w:val="24"/>
          <w:highlight w:val="none"/>
        </w:rPr>
      </w:pPr>
      <w:r>
        <w:rPr>
          <w:sz w:val="24"/>
          <w:highlight w:val="none"/>
        </w:rPr>
        <w:t xml:space="preserve"> </w:t>
      </w:r>
      <w:r>
        <w:rPr>
          <w:sz w:val="24"/>
          <w:highlight w:val="none"/>
          <w:u w:val="single"/>
        </w:rPr>
        <w:t xml:space="preserve">                        </w:t>
      </w:r>
      <w:r>
        <w:rPr>
          <w:sz w:val="24"/>
          <w:highlight w:val="none"/>
        </w:rPr>
        <w:t>（招标人名称）：</w:t>
      </w:r>
    </w:p>
    <w:p>
      <w:pPr>
        <w:spacing w:line="440" w:lineRule="atLeast"/>
        <w:ind w:firstLine="480" w:firstLineChars="200"/>
        <w:rPr>
          <w:sz w:val="24"/>
          <w:highlight w:val="none"/>
        </w:rPr>
      </w:pPr>
      <w:r>
        <w:rPr>
          <w:sz w:val="24"/>
          <w:highlight w:val="none"/>
        </w:rPr>
        <w:t>1．我方已仔细研究</w:t>
      </w:r>
      <w:r>
        <w:rPr>
          <w:sz w:val="24"/>
          <w:highlight w:val="none"/>
          <w:u w:val="single"/>
        </w:rPr>
        <w:t xml:space="preserve">                  </w:t>
      </w:r>
      <w:r>
        <w:rPr>
          <w:sz w:val="24"/>
          <w:highlight w:val="none"/>
        </w:rPr>
        <w:t>（项目名称）</w:t>
      </w:r>
      <w:r>
        <w:rPr>
          <w:sz w:val="24"/>
          <w:highlight w:val="none"/>
          <w:u w:val="single"/>
        </w:rPr>
        <w:t xml:space="preserve">         </w:t>
      </w:r>
      <w:r>
        <w:rPr>
          <w:sz w:val="24"/>
          <w:highlight w:val="none"/>
        </w:rPr>
        <w:t>标段服务招标文件的全部内容（含补遗书第___号至第___号），在考察工程现场后，愿意以人民币（大写）</w:t>
      </w:r>
      <w:r>
        <w:rPr>
          <w:sz w:val="24"/>
          <w:highlight w:val="none"/>
          <w:u w:val="single"/>
        </w:rPr>
        <w:t xml:space="preserve">           </w:t>
      </w:r>
      <w:r>
        <w:rPr>
          <w:sz w:val="24"/>
          <w:highlight w:val="none"/>
        </w:rPr>
        <w:t>元（¥</w:t>
      </w:r>
      <w:r>
        <w:rPr>
          <w:sz w:val="24"/>
          <w:highlight w:val="none"/>
          <w:u w:val="single"/>
        </w:rPr>
        <w:t xml:space="preserve">        </w:t>
      </w:r>
      <w:r>
        <w:rPr>
          <w:sz w:val="24"/>
          <w:highlight w:val="none"/>
        </w:rPr>
        <w:t>）的投标总报价（或根据招标文件规定修正核实后确定的另一金额，其中，增值税税率为</w:t>
      </w:r>
      <w:r>
        <w:rPr>
          <w:rFonts w:eastAsia="黑体"/>
          <w:sz w:val="24"/>
          <w:highlight w:val="none"/>
          <w:u w:val="single"/>
        </w:rPr>
        <w:t xml:space="preserve">         </w:t>
      </w:r>
      <w:r>
        <w:rPr>
          <w:sz w:val="24"/>
          <w:highlight w:val="none"/>
        </w:rPr>
        <w:t>），按合同约定完成服务工作。</w:t>
      </w:r>
    </w:p>
    <w:p>
      <w:pPr>
        <w:spacing w:line="440" w:lineRule="atLeast"/>
        <w:ind w:firstLine="480" w:firstLineChars="200"/>
        <w:rPr>
          <w:sz w:val="24"/>
          <w:highlight w:val="none"/>
        </w:rPr>
      </w:pPr>
      <w:r>
        <w:rPr>
          <w:sz w:val="24"/>
          <w:highlight w:val="none"/>
        </w:rPr>
        <w:t>2．在合同协议书正式签署生效之前，本投标函连同你方的中标通知书将构成我们双方之间共同遵守的文件，对双方具有约束力。</w:t>
      </w:r>
    </w:p>
    <w:p>
      <w:pPr>
        <w:spacing w:line="440" w:lineRule="atLeast"/>
        <w:ind w:firstLine="480" w:firstLineChars="200"/>
        <w:rPr>
          <w:sz w:val="24"/>
          <w:highlight w:val="none"/>
        </w:rPr>
      </w:pPr>
      <w:r>
        <w:rPr>
          <w:sz w:val="24"/>
          <w:highlight w:val="none"/>
        </w:rPr>
        <w:t>3．</w:t>
      </w:r>
      <w:r>
        <w:rPr>
          <w:sz w:val="24"/>
          <w:highlight w:val="none"/>
          <w:u w:val="single"/>
        </w:rPr>
        <w:t xml:space="preserve">                                       </w:t>
      </w:r>
      <w:r>
        <w:rPr>
          <w:sz w:val="24"/>
          <w:highlight w:val="none"/>
        </w:rPr>
        <w:t>（其他补充说明）。</w:t>
      </w:r>
    </w:p>
    <w:p>
      <w:pPr>
        <w:spacing w:line="440" w:lineRule="atLeast"/>
        <w:ind w:firstLine="480" w:firstLineChars="200"/>
        <w:rPr>
          <w:sz w:val="24"/>
          <w:highlight w:val="none"/>
        </w:rPr>
      </w:pPr>
    </w:p>
    <w:p>
      <w:pPr>
        <w:spacing w:line="440" w:lineRule="atLeast"/>
        <w:ind w:firstLine="3420" w:firstLineChars="1425"/>
        <w:rPr>
          <w:sz w:val="24"/>
          <w:highlight w:val="none"/>
        </w:rPr>
      </w:pPr>
      <w:r>
        <w:rPr>
          <w:sz w:val="24"/>
          <w:highlight w:val="none"/>
        </w:rPr>
        <w:t>投 标 人：</w:t>
      </w:r>
      <w:r>
        <w:rPr>
          <w:sz w:val="24"/>
          <w:highlight w:val="none"/>
          <w:u w:val="single"/>
        </w:rPr>
        <w:t xml:space="preserve">                     </w:t>
      </w:r>
      <w:r>
        <w:rPr>
          <w:sz w:val="24"/>
          <w:highlight w:val="none"/>
        </w:rPr>
        <w:t>（盖单位章）</w:t>
      </w:r>
      <w:r>
        <w:rPr>
          <w:sz w:val="24"/>
          <w:highlight w:val="none"/>
          <w:vertAlign w:val="superscript"/>
        </w:rPr>
        <w:footnoteReference w:id="21"/>
      </w:r>
    </w:p>
    <w:p>
      <w:pPr>
        <w:spacing w:line="440" w:lineRule="atLeast"/>
        <w:ind w:firstLine="3420" w:firstLineChars="1425"/>
        <w:rPr>
          <w:sz w:val="24"/>
          <w:highlight w:val="none"/>
        </w:rPr>
      </w:pPr>
      <w:r>
        <w:rPr>
          <w:sz w:val="24"/>
          <w:highlight w:val="none"/>
        </w:rPr>
        <w:t>法定代表人或其委托代理人：</w:t>
      </w:r>
      <w:r>
        <w:rPr>
          <w:sz w:val="24"/>
          <w:highlight w:val="none"/>
          <w:u w:val="single"/>
        </w:rPr>
        <w:t xml:space="preserve">           </w:t>
      </w:r>
      <w:r>
        <w:rPr>
          <w:sz w:val="24"/>
          <w:highlight w:val="none"/>
        </w:rPr>
        <w:t>（签字）</w:t>
      </w:r>
    </w:p>
    <w:p>
      <w:pPr>
        <w:spacing w:line="440" w:lineRule="atLeast"/>
        <w:ind w:firstLine="3420" w:firstLineChars="1425"/>
        <w:rPr>
          <w:sz w:val="24"/>
          <w:highlight w:val="none"/>
        </w:rPr>
      </w:pPr>
      <w:r>
        <w:rPr>
          <w:sz w:val="24"/>
          <w:highlight w:val="none"/>
        </w:rPr>
        <w:t>地    址：</w:t>
      </w:r>
      <w:r>
        <w:rPr>
          <w:sz w:val="24"/>
          <w:highlight w:val="none"/>
          <w:u w:val="single"/>
        </w:rPr>
        <w:t xml:space="preserve">                                     </w:t>
      </w:r>
      <w:r>
        <w:rPr>
          <w:sz w:val="24"/>
          <w:highlight w:val="none"/>
        </w:rPr>
        <w:t xml:space="preserve"> </w:t>
      </w:r>
    </w:p>
    <w:p>
      <w:pPr>
        <w:spacing w:line="440" w:lineRule="atLeast"/>
        <w:ind w:firstLine="3420" w:firstLineChars="1425"/>
        <w:rPr>
          <w:sz w:val="24"/>
          <w:highlight w:val="none"/>
        </w:rPr>
      </w:pPr>
      <w:r>
        <w:rPr>
          <w:sz w:val="24"/>
          <w:highlight w:val="none"/>
        </w:rPr>
        <w:t>网    址：</w:t>
      </w:r>
      <w:r>
        <w:rPr>
          <w:sz w:val="24"/>
          <w:highlight w:val="none"/>
          <w:u w:val="single"/>
        </w:rPr>
        <w:t xml:space="preserve">                                     </w:t>
      </w:r>
    </w:p>
    <w:p>
      <w:pPr>
        <w:spacing w:line="440" w:lineRule="atLeast"/>
        <w:ind w:firstLine="3420" w:firstLineChars="1425"/>
        <w:rPr>
          <w:sz w:val="24"/>
          <w:highlight w:val="none"/>
        </w:rPr>
      </w:pPr>
      <w:r>
        <w:rPr>
          <w:sz w:val="24"/>
          <w:highlight w:val="none"/>
        </w:rPr>
        <w:t>电    话：</w:t>
      </w:r>
      <w:r>
        <w:rPr>
          <w:sz w:val="24"/>
          <w:highlight w:val="none"/>
          <w:u w:val="single"/>
        </w:rPr>
        <w:t xml:space="preserve">                                     </w:t>
      </w:r>
      <w:r>
        <w:rPr>
          <w:sz w:val="24"/>
          <w:highlight w:val="none"/>
        </w:rPr>
        <w:t xml:space="preserve"> </w:t>
      </w:r>
    </w:p>
    <w:p>
      <w:pPr>
        <w:spacing w:line="440" w:lineRule="atLeast"/>
        <w:ind w:firstLine="3420" w:firstLineChars="1425"/>
        <w:rPr>
          <w:sz w:val="24"/>
          <w:highlight w:val="none"/>
        </w:rPr>
      </w:pPr>
      <w:r>
        <w:rPr>
          <w:sz w:val="24"/>
          <w:highlight w:val="none"/>
        </w:rPr>
        <w:t>传    真：</w:t>
      </w:r>
      <w:r>
        <w:rPr>
          <w:sz w:val="24"/>
          <w:highlight w:val="none"/>
          <w:u w:val="single"/>
        </w:rPr>
        <w:t xml:space="preserve">                                     </w:t>
      </w:r>
      <w:r>
        <w:rPr>
          <w:sz w:val="24"/>
          <w:highlight w:val="none"/>
        </w:rPr>
        <w:t xml:space="preserve"> </w:t>
      </w:r>
    </w:p>
    <w:p>
      <w:pPr>
        <w:spacing w:line="440" w:lineRule="atLeast"/>
        <w:ind w:firstLine="3420" w:firstLineChars="1425"/>
        <w:rPr>
          <w:sz w:val="24"/>
          <w:highlight w:val="none"/>
        </w:rPr>
      </w:pPr>
      <w:r>
        <w:rPr>
          <w:sz w:val="24"/>
          <w:highlight w:val="none"/>
        </w:rPr>
        <w:t>邮政编码：</w:t>
      </w:r>
      <w:r>
        <w:rPr>
          <w:sz w:val="24"/>
          <w:highlight w:val="none"/>
          <w:u w:val="single"/>
        </w:rPr>
        <w:t xml:space="preserve">                                  </w:t>
      </w:r>
    </w:p>
    <w:p>
      <w:pPr>
        <w:spacing w:line="440" w:lineRule="atLeast"/>
        <w:ind w:firstLine="3420" w:firstLineChars="1425"/>
        <w:rPr>
          <w:sz w:val="24"/>
          <w:highlight w:val="none"/>
        </w:rPr>
      </w:pPr>
    </w:p>
    <w:p>
      <w:pPr>
        <w:spacing w:line="440" w:lineRule="atLeast"/>
        <w:jc w:val="right"/>
        <w:rPr>
          <w:sz w:val="24"/>
          <w:highlight w:val="none"/>
        </w:rPr>
      </w:pPr>
      <w:r>
        <w:rPr>
          <w:sz w:val="24"/>
          <w:highlight w:val="none"/>
          <w:u w:val="single"/>
        </w:rPr>
        <w:t xml:space="preserve">         </w:t>
      </w:r>
      <w:r>
        <w:rPr>
          <w:sz w:val="24"/>
          <w:highlight w:val="none"/>
        </w:rPr>
        <w:t>年</w:t>
      </w:r>
      <w:r>
        <w:rPr>
          <w:sz w:val="24"/>
          <w:highlight w:val="none"/>
          <w:u w:val="single"/>
        </w:rPr>
        <w:t xml:space="preserve">       </w:t>
      </w:r>
      <w:r>
        <w:rPr>
          <w:sz w:val="24"/>
          <w:highlight w:val="none"/>
        </w:rPr>
        <w:t>月</w:t>
      </w:r>
      <w:r>
        <w:rPr>
          <w:sz w:val="24"/>
          <w:highlight w:val="none"/>
          <w:u w:val="single"/>
        </w:rPr>
        <w:t xml:space="preserve">       </w:t>
      </w:r>
      <w:r>
        <w:rPr>
          <w:sz w:val="24"/>
          <w:highlight w:val="none"/>
        </w:rPr>
        <w:t>日</w:t>
      </w:r>
    </w:p>
    <w:p>
      <w:pPr>
        <w:spacing w:line="440" w:lineRule="atLeast"/>
        <w:jc w:val="right"/>
        <w:rPr>
          <w:sz w:val="24"/>
          <w:highlight w:val="none"/>
        </w:rPr>
      </w:pPr>
    </w:p>
    <w:p>
      <w:pPr>
        <w:pStyle w:val="107"/>
        <w:spacing w:before="260" w:after="260" w:line="440" w:lineRule="atLeast"/>
        <w:jc w:val="center"/>
        <w:rPr>
          <w:rFonts w:ascii="Times New Roman" w:hAnsi="Times New Roman" w:eastAsia="黑体"/>
          <w:spacing w:val="1"/>
          <w:sz w:val="32"/>
          <w:szCs w:val="32"/>
          <w:highlight w:val="none"/>
          <w:lang w:eastAsia="zh-CN"/>
        </w:rPr>
      </w:pPr>
      <w:r>
        <w:rPr>
          <w:rFonts w:ascii="Times New Roman" w:hAnsi="Times New Roman" w:eastAsia="黑体"/>
          <w:sz w:val="21"/>
          <w:szCs w:val="21"/>
          <w:highlight w:val="none"/>
          <w:lang w:eastAsia="zh-CN"/>
        </w:rPr>
        <w:br w:type="page"/>
      </w:r>
      <w:bookmarkStart w:id="967" w:name="_Toc506008224"/>
      <w:bookmarkStart w:id="968" w:name="_Toc513817641"/>
      <w:bookmarkStart w:id="969" w:name="_Toc505001535"/>
      <w:bookmarkStart w:id="970" w:name="_Toc9874"/>
      <w:bookmarkStart w:id="971" w:name="_Toc505281261"/>
      <w:bookmarkStart w:id="972" w:name="_Toc508886133"/>
      <w:r>
        <w:rPr>
          <w:rFonts w:ascii="Times New Roman" w:hAnsi="Times New Roman" w:eastAsia="黑体"/>
          <w:spacing w:val="1"/>
          <w:sz w:val="32"/>
          <w:szCs w:val="32"/>
          <w:highlight w:val="none"/>
          <w:lang w:eastAsia="zh-CN"/>
        </w:rPr>
        <w:t>二、服务费用清单</w:t>
      </w:r>
      <w:bookmarkEnd w:id="967"/>
      <w:bookmarkEnd w:id="968"/>
      <w:bookmarkEnd w:id="969"/>
      <w:bookmarkEnd w:id="970"/>
      <w:bookmarkEnd w:id="971"/>
      <w:bookmarkEnd w:id="972"/>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973" w:name="_Toc506008225"/>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974" w:name="_Toc28261"/>
      <w:r>
        <w:rPr>
          <w:rFonts w:ascii="Times New Roman" w:hAnsi="Times New Roman" w:eastAsia="黑体"/>
          <w:sz w:val="28"/>
          <w:szCs w:val="21"/>
          <w:highlight w:val="none"/>
          <w:lang w:eastAsia="zh-CN"/>
        </w:rPr>
        <w:t>（一）服务费用清单说明</w:t>
      </w:r>
      <w:bookmarkEnd w:id="973"/>
      <w:bookmarkEnd w:id="974"/>
    </w:p>
    <w:p>
      <w:pPr>
        <w:spacing w:line="440" w:lineRule="atLeast"/>
        <w:rPr>
          <w:highlight w:val="none"/>
        </w:rPr>
      </w:pPr>
    </w:p>
    <w:p>
      <w:pPr>
        <w:spacing w:line="440" w:lineRule="atLeast"/>
        <w:rPr>
          <w:highlight w:val="none"/>
        </w:rPr>
      </w:pPr>
    </w:p>
    <w:p>
      <w:pPr>
        <w:pStyle w:val="107"/>
        <w:spacing w:before="260" w:after="260" w:line="440" w:lineRule="atLeast"/>
        <w:ind w:firstLine="137" w:firstLineChars="49"/>
        <w:rPr>
          <w:rFonts w:ascii="Times New Roman" w:hAnsi="Times New Roman" w:eastAsia="黑体"/>
          <w:sz w:val="28"/>
          <w:szCs w:val="21"/>
          <w:highlight w:val="none"/>
          <w:lang w:eastAsia="zh-CN"/>
        </w:rPr>
      </w:pPr>
      <w:bookmarkStart w:id="975" w:name="_Toc506008226"/>
      <w:bookmarkStart w:id="976" w:name="_Toc10790"/>
      <w:r>
        <w:rPr>
          <w:rFonts w:ascii="Times New Roman" w:hAnsi="Times New Roman" w:eastAsia="黑体"/>
          <w:sz w:val="28"/>
          <w:szCs w:val="21"/>
          <w:highlight w:val="none"/>
          <w:lang w:eastAsia="zh-CN"/>
        </w:rPr>
        <w:t>（二）服务费用清单</w:t>
      </w:r>
      <w:bookmarkEnd w:id="975"/>
      <w:bookmarkEnd w:id="976"/>
    </w:p>
    <w:p>
      <w:pPr>
        <w:spacing w:line="320" w:lineRule="atLeast"/>
        <w:rPr>
          <w:b/>
          <w:bCs/>
          <w:szCs w:val="21"/>
          <w:highlight w:val="none"/>
        </w:rPr>
      </w:pPr>
      <w:r>
        <w:rPr>
          <w:szCs w:val="21"/>
          <w:highlight w:val="none"/>
        </w:rPr>
        <w:t>第</w:t>
      </w:r>
      <w:r>
        <w:rPr>
          <w:szCs w:val="21"/>
          <w:highlight w:val="none"/>
          <w:u w:val="single"/>
        </w:rPr>
        <w:t xml:space="preserve">   </w:t>
      </w:r>
      <w:r>
        <w:rPr>
          <w:szCs w:val="21"/>
          <w:highlight w:val="none"/>
        </w:rPr>
        <w:t>标段</w:t>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ab/>
      </w:r>
      <w:r>
        <w:rPr>
          <w:szCs w:val="21"/>
          <w:highlight w:val="none"/>
        </w:rPr>
        <w:t>单位：人民币元</w:t>
      </w:r>
    </w:p>
    <w:tbl>
      <w:tblPr>
        <w:tblStyle w:val="38"/>
        <w:tblW w:w="87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
        <w:gridCol w:w="2920"/>
        <w:gridCol w:w="2086"/>
        <w:gridCol w:w="2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b/>
                <w:snapToGrid w:val="0"/>
                <w:sz w:val="24"/>
                <w:highlight w:val="none"/>
              </w:rPr>
            </w:pPr>
            <w:r>
              <w:rPr>
                <w:b/>
                <w:snapToGrid w:val="0"/>
                <w:sz w:val="24"/>
                <w:highlight w:val="none"/>
              </w:rPr>
              <w:t>序号</w:t>
            </w:r>
          </w:p>
        </w:tc>
        <w:tc>
          <w:tcPr>
            <w:tcW w:w="2920" w:type="dxa"/>
            <w:tcBorders>
              <w:top w:val="single" w:color="auto" w:sz="4" w:space="0"/>
              <w:left w:val="single" w:color="auto" w:sz="4" w:space="0"/>
              <w:bottom w:val="single" w:color="auto" w:sz="4" w:space="0"/>
              <w:right w:val="single" w:color="auto" w:sz="4" w:space="0"/>
            </w:tcBorders>
            <w:vAlign w:val="center"/>
          </w:tcPr>
          <w:p>
            <w:pPr>
              <w:spacing w:line="400" w:lineRule="exact"/>
              <w:ind w:firstLine="482" w:firstLineChars="200"/>
              <w:jc w:val="center"/>
              <w:rPr>
                <w:b/>
                <w:snapToGrid w:val="0"/>
                <w:sz w:val="24"/>
                <w:highlight w:val="none"/>
              </w:rPr>
            </w:pPr>
            <w:r>
              <w:rPr>
                <w:b/>
                <w:snapToGrid w:val="0"/>
                <w:sz w:val="24"/>
                <w:highlight w:val="none"/>
              </w:rPr>
              <w:t>项目</w:t>
            </w:r>
          </w:p>
        </w:tc>
        <w:tc>
          <w:tcPr>
            <w:tcW w:w="2086"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b/>
                <w:snapToGrid w:val="0"/>
                <w:sz w:val="24"/>
                <w:highlight w:val="none"/>
              </w:rPr>
            </w:pPr>
            <w:r>
              <w:rPr>
                <w:b/>
                <w:snapToGrid w:val="0"/>
                <w:sz w:val="24"/>
                <w:highlight w:val="none"/>
              </w:rPr>
              <w:t>费用合计</w:t>
            </w:r>
          </w:p>
        </w:tc>
        <w:tc>
          <w:tcPr>
            <w:tcW w:w="2854"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b/>
                <w:snapToGrid w:val="0"/>
                <w:sz w:val="24"/>
                <w:highlight w:val="none"/>
              </w:rPr>
            </w:pPr>
            <w:r>
              <w:rPr>
                <w:b/>
                <w:snapToGrid w:val="0"/>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b/>
                <w:bCs/>
                <w:snapToGrid w:val="0"/>
                <w:sz w:val="24"/>
                <w:highlight w:val="none"/>
              </w:rPr>
            </w:pPr>
            <w:r>
              <w:rPr>
                <w:b/>
                <w:bCs/>
                <w:snapToGrid w:val="0"/>
                <w:sz w:val="24"/>
                <w:highlight w:val="none"/>
              </w:rPr>
              <w:t>（1）</w:t>
            </w:r>
          </w:p>
        </w:tc>
        <w:tc>
          <w:tcPr>
            <w:tcW w:w="2920"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r>
              <w:rPr>
                <w:b/>
                <w:bCs/>
                <w:snapToGrid w:val="0"/>
                <w:sz w:val="24"/>
                <w:highlight w:val="none"/>
              </w:rPr>
              <w:t>分项服务费</w:t>
            </w:r>
          </w:p>
        </w:tc>
        <w:tc>
          <w:tcPr>
            <w:tcW w:w="2086"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p>
        </w:tc>
        <w:tc>
          <w:tcPr>
            <w:tcW w:w="2854"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b/>
                <w:bCs/>
                <w:snapToGrid w:val="0"/>
                <w:sz w:val="24"/>
                <w:highlight w:val="none"/>
              </w:rPr>
            </w:pPr>
            <w:r>
              <w:rPr>
                <w:b/>
                <w:bCs/>
                <w:snapToGrid w:val="0"/>
                <w:sz w:val="24"/>
                <w:highlight w:val="none"/>
              </w:rPr>
              <w:t>（2）</w:t>
            </w:r>
          </w:p>
        </w:tc>
        <w:tc>
          <w:tcPr>
            <w:tcW w:w="2920"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r>
              <w:rPr>
                <w:b/>
                <w:bCs/>
                <w:snapToGrid w:val="0"/>
                <w:sz w:val="24"/>
                <w:highlight w:val="none"/>
              </w:rPr>
              <w:t>分项服务费</w:t>
            </w:r>
          </w:p>
        </w:tc>
        <w:tc>
          <w:tcPr>
            <w:tcW w:w="2086"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p>
        </w:tc>
        <w:tc>
          <w:tcPr>
            <w:tcW w:w="2854"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5" w:type="dxa"/>
            <w:tcBorders>
              <w:top w:val="single" w:color="auto" w:sz="4" w:space="0"/>
              <w:left w:val="single" w:color="auto" w:sz="4" w:space="0"/>
              <w:bottom w:val="single" w:color="auto" w:sz="4" w:space="0"/>
              <w:right w:val="single" w:color="auto" w:sz="4" w:space="0"/>
            </w:tcBorders>
            <w:vAlign w:val="center"/>
          </w:tcPr>
          <w:p>
            <w:pPr>
              <w:spacing w:line="400" w:lineRule="exact"/>
              <w:jc w:val="center"/>
              <w:rPr>
                <w:b/>
                <w:bCs/>
                <w:snapToGrid w:val="0"/>
                <w:sz w:val="24"/>
                <w:highlight w:val="none"/>
              </w:rPr>
            </w:pPr>
            <w:r>
              <w:rPr>
                <w:b/>
                <w:bCs/>
                <w:snapToGrid w:val="0"/>
                <w:sz w:val="24"/>
                <w:highlight w:val="none"/>
              </w:rPr>
              <w:t>（3）</w:t>
            </w:r>
          </w:p>
        </w:tc>
        <w:tc>
          <w:tcPr>
            <w:tcW w:w="2920"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r>
              <w:rPr>
                <w:b/>
                <w:bCs/>
                <w:snapToGrid w:val="0"/>
                <w:sz w:val="24"/>
                <w:highlight w:val="none"/>
              </w:rPr>
              <w:t>服务费用合计</w:t>
            </w:r>
          </w:p>
        </w:tc>
        <w:tc>
          <w:tcPr>
            <w:tcW w:w="2086"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p>
        </w:tc>
        <w:tc>
          <w:tcPr>
            <w:tcW w:w="2854" w:type="dxa"/>
            <w:tcBorders>
              <w:top w:val="single" w:color="auto" w:sz="4" w:space="0"/>
              <w:left w:val="single" w:color="auto" w:sz="4" w:space="0"/>
              <w:bottom w:val="single" w:color="auto" w:sz="4" w:space="0"/>
              <w:right w:val="single" w:color="auto" w:sz="4" w:space="0"/>
            </w:tcBorders>
            <w:vAlign w:val="center"/>
          </w:tcPr>
          <w:p>
            <w:pPr>
              <w:spacing w:line="400" w:lineRule="exact"/>
              <w:rPr>
                <w:b/>
                <w:bCs/>
                <w:snapToGrid w:val="0"/>
                <w:sz w:val="24"/>
                <w:highlight w:val="none"/>
              </w:rPr>
            </w:pPr>
            <w:r>
              <w:rPr>
                <w:bCs/>
                <w:snapToGrid w:val="0"/>
                <w:sz w:val="24"/>
                <w:highlight w:val="none"/>
              </w:rPr>
              <w:t>（3）=（1）+（2）</w:t>
            </w:r>
          </w:p>
        </w:tc>
      </w:tr>
    </w:tbl>
    <w:p>
      <w:pPr>
        <w:spacing w:line="400" w:lineRule="atLeast"/>
        <w:ind w:firstLine="4740" w:firstLineChars="1975"/>
        <w:rPr>
          <w:sz w:val="24"/>
          <w:highlight w:val="none"/>
        </w:rPr>
      </w:pPr>
    </w:p>
    <w:p>
      <w:pPr>
        <w:spacing w:line="440" w:lineRule="atLeast"/>
        <w:jc w:val="right"/>
        <w:rPr>
          <w:szCs w:val="21"/>
          <w:highlight w:val="none"/>
        </w:rPr>
      </w:pPr>
    </w:p>
    <w:p>
      <w:pPr>
        <w:widowControl/>
        <w:spacing w:line="500" w:lineRule="exact"/>
        <w:ind w:firstLine="480" w:firstLineChars="200"/>
        <w:jc w:val="left"/>
        <w:rPr>
          <w:rFonts w:ascii="宋体" w:hAnsi="宋体"/>
          <w:sz w:val="24"/>
          <w:highlight w:val="none"/>
        </w:rPr>
      </w:pPr>
    </w:p>
    <w:sectPr>
      <w:headerReference r:id="rId20" w:type="default"/>
      <w:footerReference r:id="rId21" w:type="default"/>
      <w:footerReference r:id="rId22" w:type="even"/>
      <w:pgSz w:w="11906" w:h="16838"/>
      <w:pgMar w:top="1418" w:right="849" w:bottom="1418" w:left="1134" w:header="1077" w:footer="1304" w:gutter="567"/>
      <w:pgBorders>
        <w:top w:val="none" w:sz="0" w:space="0"/>
        <w:left w:val="none" w:sz="0" w:space="0"/>
        <w:bottom w:val="none" w:sz="0" w:space="0"/>
        <w:right w:val="none" w:sz="0" w:space="0"/>
      </w:pgBorders>
      <w:cols w:space="708"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moder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Consolas">
    <w:panose1 w:val="020B0609020204030204"/>
    <w:charset w:val="00"/>
    <w:family w:val="modern"/>
    <w:pitch w:val="default"/>
    <w:sig w:usb0="E00006FF" w:usb1="0000FCFF" w:usb2="00000001" w:usb3="00000000" w:csb0="6000019F" w:csb1="DFD70000"/>
  </w:font>
  <w:font w:name="仿宋_GB2312">
    <w:altName w:val="仿宋"/>
    <w:panose1 w:val="02010609030101010101"/>
    <w:charset w:val="86"/>
    <w:family w:val="modern"/>
    <w:pitch w:val="default"/>
    <w:sig w:usb0="00000000" w:usb1="00000000" w:usb2="00000010" w:usb3="00000000" w:csb0="00040000" w:csb1="00000000"/>
  </w:font>
  <w:font w:name="华文行楷">
    <w:altName w:val="微软雅黑"/>
    <w:panose1 w:val="02010800040101010101"/>
    <w:charset w:val="86"/>
    <w:family w:val="auto"/>
    <w:pitch w:val="default"/>
    <w:sig w:usb0="00000000" w:usb1="00000000" w:usb2="00000010" w:usb3="00000000" w:csb0="00040000" w:csb1="00000000"/>
  </w:font>
  <w:font w:name="方正姚体">
    <w:altName w:val="宋体"/>
    <w:panose1 w:val="02010601030101010101"/>
    <w:charset w:val="86"/>
    <w:family w:val="auto"/>
    <w:pitch w:val="default"/>
    <w:sig w:usb0="00000000" w:usb1="00000000" w:usb2="00000010" w:usb3="00000000" w:csb0="00040000" w:csb1="00000000"/>
  </w:font>
  <w:font w:name="华文新魏">
    <w:altName w:val="宋体"/>
    <w:panose1 w:val="02010800040101010101"/>
    <w:charset w:val="86"/>
    <w:family w:val="auto"/>
    <w:pitch w:val="default"/>
    <w:sig w:usb0="00000000" w:usb1="00000000" w:usb2="00000010" w:usb3="00000000" w:csb0="00040000" w:csb1="00000000"/>
  </w:font>
  <w:font w:name="隶书">
    <w:altName w:val="微软雅黑"/>
    <w:panose1 w:val="0201050906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w:fldChar w:fldCharType="begin"/>
    </w:r>
    <w:r>
      <w:instrText xml:space="preserve">PAGE   \* MERGEFORMAT</w:instrText>
    </w:r>
    <w:r>
      <w:fldChar w:fldCharType="separate"/>
    </w:r>
    <w:r>
      <w:rPr>
        <w:lang w:val="zh-CN"/>
      </w:rPr>
      <w:t>59</w:t>
    </w:r>
    <w:r>
      <w:rPr>
        <w:lang w:val="zh-CN"/>
      </w:rPr>
      <w:fldChar w:fldCharType="end"/>
    </w:r>
  </w:p>
  <w:p>
    <w:pPr>
      <w:pStyle w:val="22"/>
      <w:spacing w:line="240" w:lineRule="exact"/>
      <w:ind w:right="360" w:firstLine="360"/>
      <w:jc w:val="center"/>
      <w:rPr>
        <w:rFonts w:eastAsia="黑体"/>
        <w:sz w:val="17"/>
        <w:szCs w:val="17"/>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14" w:lineRule="auto"/>
      <w:rPr>
        <w:sz w:val="20"/>
      </w:rPr>
    </w:pPr>
    <w:r>
      <w:rPr>
        <w:sz w:val="20"/>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w:fldChar w:fldCharType="begin"/>
    </w:r>
    <w:r>
      <w:instrText xml:space="preserve">PAGE   \* MERGEFORMAT</w:instrText>
    </w:r>
    <w:r>
      <w:fldChar w:fldCharType="separate"/>
    </w:r>
    <w:r>
      <w:rPr>
        <w:lang w:val="zh-CN"/>
      </w:rPr>
      <w:t>143</w:t>
    </w:r>
    <w:r>
      <w:rPr>
        <w:lang w:val="zh-CN"/>
      </w:rPr>
      <w:fldChar w:fldCharType="end"/>
    </w:r>
  </w:p>
  <w:p>
    <w:pPr>
      <w:pStyle w:val="22"/>
      <w:spacing w:line="240" w:lineRule="exact"/>
      <w:ind w:right="360" w:firstLine="360"/>
      <w:jc w:val="center"/>
      <w:rPr>
        <w:rFonts w:eastAsia="黑体"/>
        <w:sz w:val="17"/>
        <w:szCs w:val="17"/>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right="360" w:firstLine="360"/>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4">
    <w:p>
      <w:r>
        <w:separator/>
      </w:r>
    </w:p>
  </w:footnote>
  <w:footnote w:type="continuationSeparator" w:id="45">
    <w:p>
      <w:r>
        <w:continuationSeparator/>
      </w:r>
    </w:p>
  </w:footnote>
  <w:footnote w:id="0">
    <w:p>
      <w:pPr>
        <w:pStyle w:val="27"/>
        <w:rPr>
          <w:rFonts w:ascii="黑体" w:hAnsi="黑体" w:eastAsia="黑体" w:cs="黑体"/>
        </w:rPr>
      </w:pPr>
      <w:r>
        <w:rPr>
          <w:rStyle w:val="48"/>
          <w:rFonts w:ascii="黑体" w:hAnsi="黑体" w:eastAsia="黑体" w:cs="黑体"/>
        </w:rPr>
        <w:footnoteRef/>
      </w:r>
      <w:r>
        <w:rPr>
          <w:rFonts w:ascii="黑体" w:hAnsi="黑体" w:eastAsia="黑体" w:cs="黑体"/>
        </w:rPr>
        <w:t xml:space="preserve"> 单位负责人，是指单位法定代表人或者法律、行政法规规定代表单位行使职权的主要负责人。（招标文件中所列“单位负责人”均作本条解释）</w:t>
      </w:r>
    </w:p>
  </w:footnote>
  <w:footnote w:id="1">
    <w:p>
      <w:pPr>
        <w:pStyle w:val="27"/>
        <w:rPr>
          <w:rFonts w:ascii="黑体" w:hAnsi="黑体" w:eastAsia="黑体" w:cs="黑体"/>
        </w:rPr>
      </w:pPr>
      <w:r>
        <w:rPr>
          <w:rStyle w:val="48"/>
          <w:rFonts w:ascii="黑体" w:hAnsi="黑体" w:eastAsia="黑体" w:cs="黑体"/>
        </w:rPr>
        <w:footnoteRef/>
      </w:r>
      <w:r>
        <w:rPr>
          <w:rFonts w:ascii="黑体" w:hAnsi="黑体" w:eastAsia="黑体" w:cs="黑体"/>
        </w:rPr>
        <w:t xml:space="preserve"> 控股，是指出资额（持股）占股本总额50%以上或虽不足50%，但依出资额或所持股份所享有的表决权足以对股东会、股东大会的决议产生重大影响的，或者国有企事业单位通过投资关系、协议或者其他安排，能够实际支配公司行为的。（招标文件中所列“控股”均作本条解释）</w:t>
      </w:r>
    </w:p>
  </w:footnote>
  <w:footnote w:id="2">
    <w:p>
      <w:pPr>
        <w:pStyle w:val="27"/>
        <w:rPr>
          <w:rFonts w:ascii="华文新魏" w:hAnsi="黑体" w:eastAsia="华文新魏" w:cs="黑体"/>
        </w:rPr>
      </w:pPr>
      <w:r>
        <w:rPr>
          <w:rStyle w:val="48"/>
          <w:rFonts w:ascii="黑体" w:hAnsi="黑体" w:eastAsia="黑体" w:cs="黑体"/>
        </w:rPr>
        <w:footnoteRef/>
      </w:r>
      <w:r>
        <w:rPr>
          <w:rFonts w:ascii="黑体" w:hAnsi="黑体" w:eastAsia="黑体" w:cs="黑体"/>
        </w:rPr>
        <w:t xml:space="preserve"> 管理，是指不具有出资持股关系的其他单位之间存在的管理与被管理关系。（招标文件中所列“管理”均作本条解释）</w:t>
      </w:r>
    </w:p>
  </w:footnote>
  <w:footnote w:id="3">
    <w:p>
      <w:pPr>
        <w:pStyle w:val="27"/>
        <w:spacing w:line="320" w:lineRule="atLeast"/>
        <w:jc w:val="both"/>
      </w:pPr>
      <w:r>
        <w:rPr>
          <w:rStyle w:val="48"/>
        </w:rPr>
        <w:footnoteRef/>
      </w:r>
      <w:r>
        <w:rPr>
          <w:rFonts w:hint="eastAsia"/>
        </w:rPr>
        <w:t xml:space="preserve"> 依法必须进行招标的公路工程，自招标文件开始发售之日起至投标人递交投标文件截止之日止，不得少于20日。</w:t>
      </w:r>
    </w:p>
  </w:footnote>
  <w:footnote w:id="4">
    <w:p>
      <w:pPr>
        <w:pStyle w:val="27"/>
        <w:spacing w:line="300" w:lineRule="atLeast"/>
        <w:rPr>
          <w:color w:val="FF0000"/>
        </w:rPr>
      </w:pPr>
      <w:r>
        <w:rPr>
          <w:rStyle w:val="48"/>
        </w:rPr>
        <w:footnoteRef/>
      </w:r>
      <w:r>
        <w:rPr>
          <w:rFonts w:hint="eastAsia"/>
        </w:rPr>
        <w:t>评标委员会应由招标人代表和有关方面的专家组成，人数为</w:t>
      </w:r>
      <w:r>
        <w:t>5</w:t>
      </w:r>
      <w:r>
        <w:rPr>
          <w:rFonts w:hint="eastAsia"/>
        </w:rPr>
        <w:t>人以上单数，其中技术、经济专家人数应不少于成员总数的三分之二。</w:t>
      </w:r>
      <w:r>
        <w:rPr>
          <w:rFonts w:hint="eastAsia" w:ascii="黑体" w:hAnsi="黑体" w:eastAsia="黑体"/>
        </w:rPr>
        <w:t>采用经评审的最低投标价法的评标委员会人数应为不少于</w:t>
      </w:r>
      <w:r>
        <w:rPr>
          <w:rFonts w:ascii="黑体" w:hAnsi="黑体" w:eastAsia="黑体"/>
        </w:rPr>
        <w:t>5人以上单数，其中招标人代表原则上以1人为限，且不得担任评标委员会主任；采用综合</w:t>
      </w:r>
      <w:r>
        <w:rPr>
          <w:rFonts w:hint="eastAsia" w:ascii="黑体" w:hAnsi="黑体" w:eastAsia="黑体"/>
        </w:rPr>
        <w:t>评法的评标委员会人数应为不少于</w:t>
      </w:r>
      <w:r>
        <w:rPr>
          <w:rFonts w:ascii="黑体" w:hAnsi="黑体" w:eastAsia="黑体"/>
        </w:rPr>
        <w:t>7人以上单数，原则上不派招标人代表。</w:t>
      </w:r>
    </w:p>
  </w:footnote>
  <w:footnote w:id="5">
    <w:p>
      <w:pPr>
        <w:pStyle w:val="27"/>
        <w:spacing w:line="300" w:lineRule="atLeast"/>
        <w:ind w:right="-229" w:rightChars="-109"/>
      </w:pPr>
      <w:r>
        <w:rPr>
          <w:rStyle w:val="48"/>
        </w:rPr>
        <w:footnoteRef/>
      </w:r>
      <w:r>
        <w:rPr>
          <w:rFonts w:hint="eastAsia"/>
        </w:rPr>
        <w:t xml:space="preserve"> 招标人不得强制限定履约保证金必须采用现金或支票方式缴纳，</w:t>
      </w:r>
      <w:r>
        <w:t>不得拒绝银行保函形式的</w:t>
      </w:r>
      <w:r>
        <w:rPr>
          <w:rFonts w:hint="eastAsia"/>
        </w:rPr>
        <w:t>履约保证金。</w:t>
      </w:r>
    </w:p>
  </w:footnote>
  <w:footnote w:id="6">
    <w:p>
      <w:pPr>
        <w:pStyle w:val="27"/>
        <w:spacing w:line="340" w:lineRule="atLeast"/>
        <w:ind w:right="-88" w:rightChars="-42" w:firstLine="0"/>
        <w:rPr>
          <w:szCs w:val="18"/>
        </w:rPr>
      </w:pPr>
      <w:r>
        <w:rPr>
          <w:rStyle w:val="48"/>
          <w:szCs w:val="18"/>
        </w:rPr>
        <w:footnoteRef/>
      </w:r>
      <w:r>
        <w:rPr>
          <w:rFonts w:hint="eastAsia"/>
          <w:szCs w:val="18"/>
        </w:rPr>
        <w:t xml:space="preserve"> 投标保证金</w:t>
      </w:r>
      <w:r>
        <w:rPr>
          <w:szCs w:val="18"/>
        </w:rPr>
        <w:t>不得超过招标标段估算价的2%</w:t>
      </w:r>
      <w:r>
        <w:rPr>
          <w:rFonts w:hint="eastAsia"/>
          <w:szCs w:val="18"/>
        </w:rPr>
        <w:t>，招标人应据此测算出具体金额。</w:t>
      </w:r>
    </w:p>
  </w:footnote>
  <w:footnote w:id="7">
    <w:p>
      <w:pPr>
        <w:pStyle w:val="27"/>
        <w:spacing w:line="320" w:lineRule="atLeast"/>
        <w:ind w:left="180" w:hanging="180" w:hangingChars="100"/>
        <w:rPr>
          <w:szCs w:val="18"/>
        </w:rPr>
      </w:pPr>
      <w:r>
        <w:rPr>
          <w:rStyle w:val="48"/>
          <w:szCs w:val="18"/>
        </w:rPr>
        <w:footnoteRef/>
      </w:r>
      <w:r>
        <w:rPr>
          <w:rFonts w:hint="eastAsia"/>
          <w:szCs w:val="18"/>
        </w:rPr>
        <w:t xml:space="preserve"> 招标文件中要求</w:t>
      </w:r>
      <w:r>
        <w:rPr>
          <w:szCs w:val="18"/>
        </w:rPr>
        <w:t>投标人提供的各类</w:t>
      </w:r>
      <w:r>
        <w:rPr>
          <w:rFonts w:hint="eastAsia"/>
          <w:szCs w:val="18"/>
        </w:rPr>
        <w:t>证照复印件均指彩色扫描件或彩色复印件，</w:t>
      </w:r>
      <w:r>
        <w:rPr>
          <w:szCs w:val="18"/>
        </w:rPr>
        <w:t>其他</w:t>
      </w:r>
      <w:r>
        <w:rPr>
          <w:rFonts w:hint="eastAsia"/>
          <w:szCs w:val="18"/>
        </w:rPr>
        <w:t>资料</w:t>
      </w:r>
      <w:r>
        <w:rPr>
          <w:szCs w:val="18"/>
        </w:rPr>
        <w:t>的复印件可</w:t>
      </w:r>
      <w:r>
        <w:rPr>
          <w:rFonts w:hint="eastAsia"/>
          <w:szCs w:val="18"/>
        </w:rPr>
        <w:t>为</w:t>
      </w:r>
      <w:r>
        <w:rPr>
          <w:szCs w:val="18"/>
        </w:rPr>
        <w:t>黑白扫描件或黑白复印件</w:t>
      </w:r>
      <w:r>
        <w:rPr>
          <w:rFonts w:hint="eastAsia"/>
          <w:szCs w:val="18"/>
        </w:rPr>
        <w:t>。</w:t>
      </w:r>
    </w:p>
  </w:footnote>
  <w:footnote w:id="8">
    <w:p>
      <w:pPr>
        <w:pStyle w:val="27"/>
        <w:ind w:firstLine="0"/>
        <w:rPr>
          <w:szCs w:val="18"/>
        </w:rPr>
      </w:pPr>
      <w:r>
        <w:rPr>
          <w:rStyle w:val="48"/>
          <w:szCs w:val="18"/>
        </w:rPr>
        <w:footnoteRef/>
      </w:r>
      <w:r>
        <w:rPr>
          <w:rFonts w:hint="eastAsia"/>
          <w:szCs w:val="18"/>
        </w:rPr>
        <w:t xml:space="preserve"> 若投标函中的投标价大小写金额不一致，应以大写金额为准。</w:t>
      </w:r>
    </w:p>
  </w:footnote>
  <w:footnote w:id="9">
    <w:p>
      <w:pPr>
        <w:pStyle w:val="27"/>
        <w:tabs>
          <w:tab w:val="left" w:pos="3780"/>
        </w:tabs>
        <w:spacing w:line="340" w:lineRule="atLeast"/>
        <w:ind w:firstLine="0"/>
        <w:rPr>
          <w:szCs w:val="18"/>
        </w:rPr>
      </w:pPr>
      <w:r>
        <w:rPr>
          <w:rStyle w:val="48"/>
          <w:szCs w:val="18"/>
        </w:rPr>
        <w:footnoteRef/>
      </w:r>
      <w:r>
        <w:rPr>
          <w:szCs w:val="18"/>
        </w:rPr>
        <w:t xml:space="preserve"> </w:t>
      </w:r>
      <w:r>
        <w:rPr>
          <w:rFonts w:hint="eastAsia"/>
          <w:szCs w:val="18"/>
        </w:rPr>
        <w:t>招标人可根据项目具体特点和实际情况进行修改。</w:t>
      </w:r>
    </w:p>
  </w:footnote>
  <w:footnote w:id="10">
    <w:p>
      <w:pPr>
        <w:pStyle w:val="27"/>
        <w:spacing w:line="300" w:lineRule="atLeast"/>
        <w:ind w:left="180" w:hanging="180" w:hangingChars="100"/>
        <w:jc w:val="both"/>
        <w:rPr>
          <w:rFonts w:hAnsi="宋体"/>
          <w:szCs w:val="18"/>
        </w:rPr>
      </w:pPr>
      <w:r>
        <w:rPr>
          <w:rStyle w:val="48"/>
          <w:rFonts w:ascii="宋体" w:hAnsi="宋体"/>
          <w:szCs w:val="18"/>
        </w:rPr>
        <w:footnoteRef/>
      </w:r>
      <w:r>
        <w:rPr>
          <w:rFonts w:hint="eastAsia" w:hAnsi="宋体"/>
          <w:szCs w:val="18"/>
        </w:rPr>
        <w:t xml:space="preserve"> 投标人仅须在投标文件的澄清或说明上加盖单位章，或由法定代表人或其委托代理人签字。</w:t>
      </w:r>
    </w:p>
  </w:footnote>
  <w:footnote w:id="11">
    <w:p>
      <w:pPr>
        <w:pStyle w:val="27"/>
        <w:spacing w:line="300" w:lineRule="atLeast"/>
        <w:ind w:left="180" w:hanging="180" w:hangingChars="100"/>
        <w:jc w:val="both"/>
      </w:pPr>
      <w:r>
        <w:rPr>
          <w:rStyle w:val="48"/>
        </w:rPr>
        <w:footnoteRef/>
      </w:r>
      <w:r>
        <w:rPr>
          <w:rFonts w:hint="eastAsia" w:ascii="黑体" w:hAnsi="黑体" w:eastAsia="黑体"/>
        </w:rPr>
        <w:t>对于无资质准入要求或有特殊要求的咨询项目，还可对其他主要服务人员进行资格评审。</w:t>
      </w:r>
    </w:p>
  </w:footnote>
  <w:footnote w:id="12">
    <w:p>
      <w:pPr>
        <w:pStyle w:val="27"/>
        <w:tabs>
          <w:tab w:val="left" w:pos="3780"/>
        </w:tabs>
        <w:spacing w:line="340" w:lineRule="atLeast"/>
        <w:jc w:val="both"/>
      </w:pPr>
      <w:r>
        <w:rPr>
          <w:rStyle w:val="48"/>
        </w:rPr>
        <w:footnoteRef/>
      </w:r>
      <w:r>
        <w:rPr>
          <w:rFonts w:hint="eastAsia"/>
        </w:rPr>
        <w:t>本条内容可修改为：“</w:t>
      </w:r>
      <w:r>
        <w:t>本</w:t>
      </w:r>
      <w:r>
        <w:rPr>
          <w:rFonts w:hint="eastAsia"/>
        </w:rPr>
        <w:t>担保</w:t>
      </w:r>
      <w:r>
        <w:t>自</w:t>
      </w:r>
      <w:r>
        <w:rPr>
          <w:rFonts w:hint="eastAsia"/>
          <w:u w:val="single"/>
        </w:rPr>
        <w:t xml:space="preserve">         </w:t>
      </w:r>
      <w:r>
        <w:t>（生效日期）之日起生效，至</w:t>
      </w:r>
      <w:r>
        <w:rPr>
          <w:rFonts w:hint="eastAsia"/>
          <w:u w:val="single"/>
        </w:rPr>
        <w:t xml:space="preserve">         </w:t>
      </w:r>
      <w:r>
        <w:t>（失效日期）之日失效</w:t>
      </w:r>
      <w:r>
        <w:rPr>
          <w:rFonts w:hint="eastAsia"/>
        </w:rPr>
        <w:t>。”</w:t>
      </w:r>
      <w:r>
        <w:rPr>
          <w:rFonts w:hint="eastAsia"/>
          <w:sz w:val="21"/>
          <w:szCs w:val="21"/>
        </w:rPr>
        <w:t xml:space="preserve"> </w:t>
      </w:r>
      <w:r>
        <w:rPr>
          <w:rFonts w:hint="eastAsia"/>
        </w:rPr>
        <w:t>如委托人接受履约</w:t>
      </w:r>
      <w:r>
        <w:t>保函</w:t>
      </w:r>
      <w:r>
        <w:rPr>
          <w:rFonts w:hint="eastAsia"/>
        </w:rPr>
        <w:t>采用固定有效</w:t>
      </w:r>
      <w:r>
        <w:t>期，</w:t>
      </w:r>
      <w:r>
        <w:rPr>
          <w:rFonts w:hint="eastAsia"/>
        </w:rPr>
        <w:t>在项目</w:t>
      </w:r>
      <w:r>
        <w:t>专用合同条款中</w:t>
      </w:r>
      <w:r>
        <w:rPr>
          <w:rFonts w:hint="eastAsia"/>
        </w:rPr>
        <w:t>应</w:t>
      </w:r>
      <w:r>
        <w:t>增加</w:t>
      </w:r>
      <w:r>
        <w:rPr>
          <w:rFonts w:hint="eastAsia"/>
        </w:rPr>
        <w:t>保证服务人在履约</w:t>
      </w:r>
      <w:r>
        <w:t>保函失效</w:t>
      </w:r>
      <w:r>
        <w:rPr>
          <w:rFonts w:hint="eastAsia"/>
        </w:rPr>
        <w:t>日</w:t>
      </w:r>
      <w:r>
        <w:t>前向委托人出具后续阶段履约保函</w:t>
      </w:r>
      <w:r>
        <w:rPr>
          <w:rFonts w:hint="eastAsia"/>
        </w:rPr>
        <w:t>的约束性</w:t>
      </w:r>
      <w:r>
        <w:t>条款，直至委托人签发交工验收证书且</w:t>
      </w:r>
      <w:r>
        <w:rPr>
          <w:rFonts w:hint="eastAsia"/>
        </w:rPr>
        <w:t>服务人</w:t>
      </w:r>
      <w:r>
        <w:t>按照合同约定提交缺陷责任期保函之日</w:t>
      </w:r>
      <w:r>
        <w:rPr>
          <w:rFonts w:hint="eastAsia"/>
        </w:rPr>
        <w:t>为止</w:t>
      </w:r>
      <w:r>
        <w:t>。</w:t>
      </w:r>
    </w:p>
  </w:footnote>
  <w:footnote w:id="13">
    <w:p>
      <w:pPr>
        <w:pStyle w:val="27"/>
      </w:pPr>
      <w:r>
        <w:rPr>
          <w:rStyle w:val="48"/>
        </w:rPr>
        <w:footnoteRef/>
      </w:r>
      <w:r>
        <w:rPr>
          <w:rFonts w:hint="eastAsia"/>
        </w:rPr>
        <w:t xml:space="preserve"> 招标人可结合招标项目具体特点和实际需要，对本章内容进行补充、细化。</w:t>
      </w:r>
    </w:p>
  </w:footnote>
  <w:footnote w:id="14">
    <w:p>
      <w:pPr>
        <w:pStyle w:val="27"/>
      </w:pPr>
      <w:r>
        <w:rPr>
          <w:rStyle w:val="48"/>
        </w:rPr>
        <w:footnoteRef/>
      </w:r>
      <w:r>
        <w:rPr>
          <w:rFonts w:hint="eastAsia"/>
        </w:rPr>
        <w:t xml:space="preserve"> 招标人可结合招标项目具体特点和实际需要，对本章内容进行补充、细化。</w:t>
      </w:r>
    </w:p>
  </w:footnote>
  <w:footnote w:id="15">
    <w:p>
      <w:pPr>
        <w:pStyle w:val="27"/>
        <w:spacing w:line="300" w:lineRule="atLeast"/>
        <w:ind w:left="180" w:hanging="180" w:hangingChars="100"/>
        <w:jc w:val="both"/>
        <w:rPr>
          <w:rFonts w:hAnsi="宋体"/>
        </w:rPr>
      </w:pPr>
      <w:r>
        <w:rPr>
          <w:rStyle w:val="48"/>
          <w:rFonts w:ascii="宋体" w:hAnsi="宋体"/>
        </w:rPr>
        <w:footnoteRef/>
      </w:r>
      <w:r>
        <w:rPr>
          <w:rFonts w:hint="eastAsia" w:hAnsi="宋体"/>
        </w:rPr>
        <w:t xml:space="preserve"> 对于</w:t>
      </w:r>
      <w:r>
        <w:rPr>
          <w:rFonts w:hAnsi="宋体"/>
        </w:rPr>
        <w:t>已按资格预审文件或招标文件要求提供了其他</w:t>
      </w:r>
      <w:r>
        <w:rPr>
          <w:rFonts w:hint="eastAsia" w:hAnsi="宋体"/>
        </w:rPr>
        <w:t>主要服务</w:t>
      </w:r>
      <w:r>
        <w:rPr>
          <w:rFonts w:hAnsi="宋体"/>
        </w:rPr>
        <w:t>人员的</w:t>
      </w:r>
      <w:r>
        <w:rPr>
          <w:rFonts w:hint="eastAsia" w:hAnsi="宋体"/>
        </w:rPr>
        <w:t>项目，本条款应修改为“</w:t>
      </w:r>
      <w:r>
        <w:rPr>
          <w:rFonts w:hAnsi="宋体"/>
        </w:rPr>
        <w:t>在</w:t>
      </w:r>
      <w:r>
        <w:rPr>
          <w:rFonts w:hint="eastAsia" w:hAnsi="宋体"/>
        </w:rPr>
        <w:t>你方和</w:t>
      </w:r>
      <w:r>
        <w:rPr>
          <w:rFonts w:hAnsi="宋体"/>
        </w:rPr>
        <w:t>我方</w:t>
      </w:r>
      <w:r>
        <w:rPr>
          <w:rFonts w:hint="eastAsia" w:hAnsi="宋体"/>
        </w:rPr>
        <w:t>进行合同谈判</w:t>
      </w:r>
      <w:r>
        <w:rPr>
          <w:rFonts w:hAnsi="宋体"/>
        </w:rPr>
        <w:t>之前，我方将按照合同附件提出的最低要求填报</w:t>
      </w:r>
      <w:r>
        <w:rPr>
          <w:rFonts w:hint="eastAsia" w:hAnsi="宋体"/>
        </w:rPr>
        <w:t>拟投入的</w:t>
      </w:r>
      <w:r>
        <w:rPr>
          <w:rFonts w:hAnsi="宋体"/>
        </w:rPr>
        <w:t>主要设备，</w:t>
      </w:r>
      <w:r>
        <w:rPr>
          <w:rFonts w:hint="eastAsia" w:hAnsi="宋体"/>
        </w:rPr>
        <w:t>经</w:t>
      </w:r>
      <w:r>
        <w:rPr>
          <w:rFonts w:hAnsi="宋体"/>
        </w:rPr>
        <w:t>你方审批后作为投入本标段的主要设备且不进行更换。如我方拟</w:t>
      </w:r>
      <w:r>
        <w:rPr>
          <w:rFonts w:hint="eastAsia" w:hAnsi="宋体"/>
        </w:rPr>
        <w:t>投入</w:t>
      </w:r>
      <w:r>
        <w:rPr>
          <w:rFonts w:hAnsi="宋体"/>
        </w:rPr>
        <w:t>的设备不满足合同附件要求</w:t>
      </w:r>
      <w:r>
        <w:rPr>
          <w:rFonts w:hint="eastAsia" w:hAnsi="宋体"/>
        </w:rPr>
        <w:t>，</w:t>
      </w:r>
      <w:r>
        <w:rPr>
          <w:rFonts w:hAnsi="宋体"/>
        </w:rPr>
        <w:t>你方有权取消我方中标资格</w:t>
      </w:r>
      <w:r>
        <w:rPr>
          <w:rFonts w:hint="eastAsia" w:hAnsi="宋体"/>
        </w:rPr>
        <w:t>。”</w:t>
      </w:r>
    </w:p>
  </w:footnote>
  <w:footnote w:id="16">
    <w:p>
      <w:pPr>
        <w:pStyle w:val="27"/>
        <w:spacing w:line="300" w:lineRule="atLeast"/>
        <w:ind w:left="180" w:hanging="180" w:hangingChars="100"/>
        <w:jc w:val="both"/>
        <w:rPr>
          <w:rFonts w:hAnsi="宋体"/>
        </w:rPr>
      </w:pPr>
      <w:r>
        <w:rPr>
          <w:rStyle w:val="48"/>
          <w:rFonts w:ascii="宋体" w:hAnsi="宋体"/>
        </w:rPr>
        <w:footnoteRef/>
      </w:r>
      <w:r>
        <w:rPr>
          <w:rFonts w:hint="eastAsia" w:hAnsi="宋体"/>
        </w:rPr>
        <w:t xml:space="preserve"> 投标人仅须在投标函上加盖单位章，或由法定代表人或其委托代理人签字。</w:t>
      </w:r>
    </w:p>
  </w:footnote>
  <w:footnote w:id="17">
    <w:p>
      <w:pPr>
        <w:pStyle w:val="27"/>
        <w:spacing w:line="300" w:lineRule="atLeast"/>
        <w:ind w:left="180" w:hanging="180" w:hangingChars="100"/>
      </w:pPr>
      <w:r>
        <w:rPr>
          <w:vertAlign w:val="superscript"/>
        </w:rPr>
        <w:footnoteRef/>
      </w:r>
      <w:r>
        <w:rPr>
          <w:rFonts w:hint="eastAsia"/>
        </w:rPr>
        <w:t xml:space="preserve"> 如果由投标人的法定代表人签署投标文件，则无须提交授权委托书。</w:t>
      </w:r>
    </w:p>
  </w:footnote>
  <w:footnote w:id="18">
    <w:p>
      <w:pPr>
        <w:pStyle w:val="27"/>
        <w:spacing w:line="300" w:lineRule="atLeast"/>
        <w:ind w:left="180" w:hanging="180" w:hangingChars="100"/>
      </w:pPr>
      <w:r>
        <w:rPr>
          <w:rStyle w:val="48"/>
        </w:rPr>
        <w:footnoteRef/>
      </w:r>
      <w:r>
        <w:t xml:space="preserve"> </w:t>
      </w:r>
      <w:r>
        <w:rPr>
          <w:rFonts w:hint="eastAsia"/>
        </w:rPr>
        <w:t>本联合体协议书格式适用于未进行资格预审的情况。如果采用资格预审，投标人应在此提供资格预审申请文件中所附的联合体协议书复印件。</w:t>
      </w:r>
    </w:p>
  </w:footnote>
  <w:footnote w:id="19">
    <w:p>
      <w:pPr>
        <w:pStyle w:val="27"/>
        <w:jc w:val="both"/>
        <w:rPr>
          <w:rFonts w:ascii="宋体" w:hAnsi="宋体"/>
        </w:rPr>
      </w:pPr>
      <w:r>
        <w:rPr>
          <w:rStyle w:val="48"/>
          <w:rFonts w:ascii="宋体" w:hAnsi="宋体"/>
        </w:rPr>
        <w:footnoteRef/>
      </w:r>
      <w:r>
        <w:rPr>
          <w:rFonts w:hint="eastAsia" w:ascii="宋体" w:hAnsi="宋体"/>
        </w:rPr>
        <w:t xml:space="preserve"> </w:t>
      </w:r>
      <w:r>
        <w:rPr>
          <w:rFonts w:hint="eastAsia" w:ascii="黑体" w:hAnsi="黑体" w:eastAsia="黑体"/>
        </w:rPr>
        <w:t>本表仅适用于无资质准入要求或有特殊要求的咨询项目。</w:t>
      </w:r>
    </w:p>
  </w:footnote>
  <w:footnote w:id="20">
    <w:p>
      <w:pPr>
        <w:pStyle w:val="27"/>
        <w:jc w:val="both"/>
        <w:rPr>
          <w:rFonts w:ascii="宋体" w:hAnsi="宋体"/>
        </w:rPr>
      </w:pPr>
      <w:r>
        <w:rPr>
          <w:rStyle w:val="48"/>
          <w:rFonts w:ascii="宋体" w:hAnsi="宋体"/>
        </w:rPr>
        <w:footnoteRef/>
      </w:r>
      <w:r>
        <w:rPr>
          <w:rFonts w:hint="eastAsia" w:ascii="黑体" w:hAnsi="黑体" w:eastAsia="黑体"/>
        </w:rPr>
        <w:t>本表仅适用于无资质准入要求或有特殊要求的咨询项目。</w:t>
      </w:r>
    </w:p>
  </w:footnote>
  <w:footnote w:id="21">
    <w:p>
      <w:pPr>
        <w:pStyle w:val="27"/>
        <w:spacing w:line="300" w:lineRule="atLeast"/>
        <w:ind w:left="180" w:hanging="180" w:hangingChars="100"/>
        <w:jc w:val="both"/>
        <w:rPr>
          <w:rFonts w:hAnsi="宋体"/>
        </w:rPr>
      </w:pPr>
      <w:r>
        <w:rPr>
          <w:rStyle w:val="48"/>
          <w:rFonts w:ascii="宋体" w:hAnsi="宋体"/>
        </w:rPr>
        <w:footnoteRef/>
      </w:r>
      <w:r>
        <w:rPr>
          <w:rFonts w:hint="eastAsia" w:hAnsi="宋体"/>
        </w:rPr>
        <w:t xml:space="preserve"> 投标人仅须在投标函上加盖单位章，或由法定代表人或其委托代理人签字。</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szCs w:val="18"/>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9072"/>
      </w:tabs>
      <w:rPr>
        <w:rFonts w:ascii="黑体" w:hAnsi="Cambria" w:eastAsia="黑体"/>
        <w:bCs/>
        <w:szCs w:val="18"/>
      </w:rPr>
    </w:pPr>
  </w:p>
  <w:p>
    <w:pPr>
      <w:pBdr>
        <w:bottom w:val="none" w:color="auto" w:sz="0" w:space="1"/>
      </w:pBdr>
      <w:tabs>
        <w:tab w:val="center" w:pos="4153"/>
        <w:tab w:val="right" w:pos="9072"/>
      </w:tabs>
      <w:rPr>
        <w:rFonts w:ascii="黑体" w:hAnsi="Cambria" w:eastAsia="黑体"/>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9072"/>
      </w:tabs>
      <w:rPr>
        <w:rFonts w:ascii="黑体" w:hAnsi="Cambria" w:eastAsia="黑体"/>
        <w:bCs/>
        <w:szCs w:val="18"/>
      </w:rPr>
    </w:pPr>
  </w:p>
  <w:p>
    <w:pPr>
      <w:pBdr>
        <w:bottom w:val="none" w:color="auto" w:sz="0" w:space="1"/>
      </w:pBdr>
      <w:tabs>
        <w:tab w:val="center" w:pos="4153"/>
        <w:tab w:val="center" w:pos="4715"/>
      </w:tabs>
      <w:rPr>
        <w:rFonts w:ascii="黑体" w:hAnsi="Cambria" w:eastAsia="黑体"/>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14" w:lineRule="auto"/>
      <w:rPr>
        <w:sz w:val="20"/>
      </w:rPr>
    </w:pPr>
    <w:r>
      <mc:AlternateContent>
        <mc:Choice Requires="wps">
          <w:drawing>
            <wp:anchor distT="0" distB="0" distL="114300" distR="114300" simplePos="0" relativeHeight="251661312" behindDoc="1" locked="0" layoutInCell="1" allowOverlap="1">
              <wp:simplePos x="0" y="0"/>
              <wp:positionH relativeFrom="page">
                <wp:posOffset>6123940</wp:posOffset>
              </wp:positionH>
              <wp:positionV relativeFrom="page">
                <wp:posOffset>1064260</wp:posOffset>
              </wp:positionV>
              <wp:extent cx="435610" cy="224155"/>
              <wp:effectExtent l="0" t="0" r="0" b="0"/>
              <wp:wrapNone/>
              <wp:docPr id="99" name="文本框 12"/>
              <wp:cNvGraphicFramePr/>
              <a:graphic xmlns:a="http://schemas.openxmlformats.org/drawingml/2006/main">
                <a:graphicData uri="http://schemas.microsoft.com/office/word/2010/wordprocessingShape">
                  <wps:wsp>
                    <wps:cNvSpPr txBox="1"/>
                    <wps:spPr>
                      <a:xfrm>
                        <a:off x="0" y="0"/>
                        <a:ext cx="435610" cy="224155"/>
                      </a:xfrm>
                      <a:prstGeom prst="rect">
                        <a:avLst/>
                      </a:prstGeom>
                      <a:noFill/>
                      <a:ln>
                        <a:noFill/>
                      </a:ln>
                    </wps:spPr>
                    <wps:txbx>
                      <w:txbxContent>
                        <w:p>
                          <w:pPr>
                            <w:spacing w:line="249" w:lineRule="exact"/>
                            <w:ind w:left="20"/>
                            <w:jc w:val="left"/>
                            <w:rPr>
                              <w:szCs w:val="21"/>
                            </w:rPr>
                          </w:pPr>
                          <w:r>
                            <w:rPr>
                              <w:szCs w:val="21"/>
                            </w:rPr>
                            <w:t>续上表</w:t>
                          </w:r>
                        </w:p>
                      </w:txbxContent>
                    </wps:txbx>
                    <wps:bodyPr lIns="0" tIns="0" rIns="0" bIns="0" upright="1"/>
                  </wps:wsp>
                </a:graphicData>
              </a:graphic>
            </wp:anchor>
          </w:drawing>
        </mc:Choice>
        <mc:Fallback>
          <w:pict>
            <v:shape id="文本框 12" o:spid="_x0000_s1026" o:spt="202" type="#_x0000_t202" style="position:absolute;left:0pt;margin-left:482.2pt;margin-top:83.8pt;height:17.65pt;width:34.3pt;mso-position-horizontal-relative:page;mso-position-vertical-relative:page;z-index:-251655168;mso-width-relative:page;mso-height-relative:page;" filled="f" stroked="f" coordsize="21600,21600" o:gfxdata="UEsDBAoAAAAAAIdO4kAAAAAAAAAAAAAAAAAEAAAAZHJzL1BLAwQUAAAACACHTuJAVsecRdoAAAAM&#10;AQAADwAAAGRycy9kb3ducmV2LnhtbE2Py07DMBBF90j8gzVI7KjdtDIkxKkQghUSIg0Llk48TazG&#10;4xC7D/4edwXL0T26c265ObuRHXEO1pOC5UIAQ+q8sdQr+Gxe7x6AhajJ6NETKvjBAJvq+qrUhfEn&#10;qvG4jT1LJRQKrWCIcSo4D92AToeFn5BStvOz0zGdc8/NrE+p3I08E0Jypy2lD4Oe8HnAbr89OAVP&#10;X1S/2O/39qPe1bZpckFvcq/U7c1SPAKLeI5/MFz0kzpUyan1BzKBjQpyuV4nNAXyXgK7EGK1SvNa&#10;BZnIcuBVyf+PqH4BUEsDBBQAAAAIAIdO4kCIEyhRvAEAAHMDAAAOAAAAZHJzL2Uyb0RvYy54bWyt&#10;U0Fu2zAQvBfIHwjea1pqHDSC5QCBkaBA0RZI+gCaoiwCJJcgaUv+QPuDnnrpve/yO7qkLKdNLznk&#10;Qq12V7Mzs9TyZjCa7KUPCmxNi9mcEmkFNMpua/r18e7te0pC5LbhGqys6UEGerO6eLPsXSVL6EA3&#10;0hMEsaHqXU27GF3FWBCdNDzMwEmLxRa84RFf/ZY1nveIbjQr5/Mr1oNvnAchQ8DseizSE6J/CSC0&#10;rRJyDWJnpI0jqpeaR5QUOuUCXWW2bStF/Ny2QUaia4pKYz5xCMabdLLVkldbz12nxIkCfwmFZ5oM&#10;VxaHnqHWPHKy8+o/KKOEhwBtnAkwbBSSHUEVxfyZNw8ddzJrQauDO5seXg9WfNp/8UQ1Nb2+psRy&#10;gxs//vh+/Pn7+OsbKcpkUO9ChX0PDjvjcAsDXpspHzCZdA+tN+mJigjW0d7D2V45RCIweflucVVg&#10;RWCpLC+LxSKhsKePnQ/xXoIhKaipx+1lU/n+Y4hj69SSZlm4U1rnDWr7TwIxU4Yl5iPDFMVhM5zk&#10;bKA5oBr9waKX6V5MgZ+CzRTsnFfbDulkzRkSd5F5n+5NWvbf73nw07+y+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BWx5xF2gAAAAwBAAAPAAAAAAAAAAEAIAAAACIAAABkcnMvZG93bnJldi54bWxQ&#10;SwECFAAUAAAACACHTuJAiBMoUbwBAABzAwAADgAAAAAAAAABACAAAAApAQAAZHJzL2Uyb0RvYy54&#10;bWxQSwUGAAAAAAYABgBZAQAAVwUAAAAA&#10;">
              <v:fill on="f" focussize="0,0"/>
              <v:stroke on="f"/>
              <v:imagedata o:title=""/>
              <o:lock v:ext="edit" aspectratio="f"/>
              <v:textbox inset="0mm,0mm,0mm,0mm">
                <w:txbxContent>
                  <w:p>
                    <w:pPr>
                      <w:spacing w:line="249" w:lineRule="exact"/>
                      <w:ind w:left="20"/>
                      <w:jc w:val="left"/>
                      <w:rPr>
                        <w:szCs w:val="21"/>
                      </w:rPr>
                    </w:pPr>
                    <w:r>
                      <w:rPr>
                        <w:szCs w:val="21"/>
                      </w:rPr>
                      <w:t>续上表</w:t>
                    </w:r>
                  </w:p>
                </w:txbxContent>
              </v:textbox>
            </v:shape>
          </w:pict>
        </mc:Fallback>
      </mc:AlternateContent>
    </w:r>
    <w:r>
      <mc:AlternateContent>
        <mc:Choice Requires="wps">
          <w:drawing>
            <wp:anchor distT="0" distB="0" distL="114300" distR="114300" simplePos="0" relativeHeight="251659264" behindDoc="1" locked="0" layoutInCell="1" allowOverlap="1">
              <wp:simplePos x="0" y="0"/>
              <wp:positionH relativeFrom="page">
                <wp:posOffset>3451225</wp:posOffset>
              </wp:positionH>
              <wp:positionV relativeFrom="page">
                <wp:posOffset>560070</wp:posOffset>
              </wp:positionV>
              <wp:extent cx="3100070" cy="132715"/>
              <wp:effectExtent l="0" t="0" r="0" b="0"/>
              <wp:wrapNone/>
              <wp:docPr id="97" name="文本框 10"/>
              <wp:cNvGraphicFramePr/>
              <a:graphic xmlns:a="http://schemas.openxmlformats.org/drawingml/2006/main">
                <a:graphicData uri="http://schemas.microsoft.com/office/word/2010/wordprocessingShape">
                  <wps:wsp>
                    <wps:cNvSpPr txBox="1"/>
                    <wps:spPr>
                      <a:xfrm>
                        <a:off x="0" y="0"/>
                        <a:ext cx="3100070" cy="132715"/>
                      </a:xfrm>
                      <a:prstGeom prst="rect">
                        <a:avLst/>
                      </a:prstGeom>
                      <a:noFill/>
                      <a:ln>
                        <a:noFill/>
                      </a:ln>
                    </wps:spPr>
                    <wps:txbx>
                      <w:txbxContent>
                        <w:p>
                          <w:pPr>
                            <w:spacing w:line="209" w:lineRule="exact"/>
                            <w:jc w:val="left"/>
                            <w:rPr>
                              <w:rFonts w:ascii="黑体" w:eastAsia="黑体"/>
                            </w:rPr>
                          </w:pPr>
                          <w:r>
                            <w:rPr>
                              <w:rFonts w:hint="eastAsia" w:ascii="黑体" w:eastAsia="黑体"/>
                            </w:rPr>
                            <w:t>湖南省公路工程标准服务招标文件（2019</w:t>
                          </w:r>
                          <w:r>
                            <w:rPr>
                              <w:rFonts w:hint="eastAsia" w:ascii="黑体" w:eastAsia="黑体"/>
                              <w:spacing w:val="-22"/>
                            </w:rPr>
                            <w:t xml:space="preserve"> 年版</w:t>
                          </w:r>
                          <w:r>
                            <w:rPr>
                              <w:rFonts w:hint="eastAsia" w:ascii="黑体" w:eastAsia="黑体"/>
                            </w:rPr>
                            <w:t>）</w:t>
                          </w:r>
                        </w:p>
                      </w:txbxContent>
                    </wps:txbx>
                    <wps:bodyPr lIns="0" tIns="0" rIns="0" bIns="0" upright="1"/>
                  </wps:wsp>
                </a:graphicData>
              </a:graphic>
            </wp:anchor>
          </w:drawing>
        </mc:Choice>
        <mc:Fallback>
          <w:pict>
            <v:shape id="文本框 10" o:spid="_x0000_s1026" o:spt="202" type="#_x0000_t202" style="position:absolute;left:0pt;margin-left:271.75pt;margin-top:44.1pt;height:10.45pt;width:244.1pt;mso-position-horizontal-relative:page;mso-position-vertical-relative:page;z-index:-251657216;mso-width-relative:page;mso-height-relative:page;" filled="f" stroked="f" coordsize="21600,21600" o:gfxdata="UEsDBAoAAAAAAIdO4kAAAAAAAAAAAAAAAAAEAAAAZHJzL1BLAwQUAAAACACHTuJAMjPNtdoAAAAL&#10;AQAADwAAAGRycy9kb3ducmV2LnhtbE2Py07DMBBF90j8gzVI7KidlpY0jVMhBCskRBoWXTrxNLEa&#10;j0PsPvh7nBXsZjRHd87Nt1fbszOO3jiSkMwEMKTGaUOthK/q7SEF5oMirXpHKOEHPWyL25tcZdpd&#10;qMTzLrQshpDPlIQuhCHj3DcdWuVnbkCKt4MbrQpxHVuuR3WJ4bbncyFW3CpD8UOnBnzpsDnuTlbC&#10;857KV/P9UX+Wh9JU1VrQ++oo5f1dIjbAAl7DHwyTflSHIjrV7kTas17C8nGxjKiENJ0DmwCxSJ6A&#10;1dO0ToAXOf/fofgFUEsDBBQAAAAIAIdO4kAg7XNRuwEAAHQDAAAOAAAAZHJzL2Uyb0RvYy54bWyt&#10;U0tu2zAQ3RfIHQjua0oOGreC5QCFkaBA0BZIegCaIi0CJIcgaUu+QHuDrrrpvufyOTqkf226yaIb&#10;ajQzevPeG2p+O1pDtjJEDa6l9aSiRDoBnXbrln55unv9lpKYuOu4ASdbupOR3i6uXs0H38gp9GA6&#10;GQiCuNgMvqV9Sr5hLIpeWh4n4KXDooJgecLXsGZd4AOiW8OmVXXDBgidDyBkjJhdHor0iBheAghK&#10;aSGXIDZWunRADdLwhJJir32ki8JWKSnSJ6WiTMS0FJWmcuIQjFf5ZIs5b9aB+16LIwX+EgrPNFmu&#10;HQ49Qy154mQT9D9QVosAEVSaCLDsIKQ4girq6pk3jz33smhBq6M/mx7/H6z4uP0ciO5a+m5GieMW&#10;N77//m3/49f+51dSF4MGHxvse/TYmcb3MOK1ycblfMRk1j2qYPMTFRGso727s71yTERg8rquqmqG&#10;JYG1+no6q99kGHb52oeY7iVYkoOWBlxfcZVvH2I6tJ5a8jAHd9qYskLj/kogZs6wC8UcpXE1Hnmv&#10;oNuhHPPBoZn5YpyCcApWp2Djg173SKeILpC4jML7eHHytv98L4MvP8vi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IzzbXaAAAACwEAAA8AAAAAAAAAAQAgAAAAIgAAAGRycy9kb3ducmV2LnhtbFBL&#10;AQIUABQAAAAIAIdO4kAg7XNRuwEAAHQDAAAOAAAAAAAAAAEAIAAAACkBAABkcnMvZTJvRG9jLnht&#10;bFBLBQYAAAAABgAGAFkBAABWBQAAAAA=&#10;">
              <v:fill on="f" focussize="0,0"/>
              <v:stroke on="f"/>
              <v:imagedata o:title=""/>
              <o:lock v:ext="edit" aspectratio="f"/>
              <v:textbox inset="0mm,0mm,0mm,0mm">
                <w:txbxContent>
                  <w:p>
                    <w:pPr>
                      <w:spacing w:line="209" w:lineRule="exact"/>
                      <w:jc w:val="left"/>
                      <w:rPr>
                        <w:rFonts w:ascii="黑体" w:eastAsia="黑体"/>
                      </w:rPr>
                    </w:pPr>
                    <w:r>
                      <w:rPr>
                        <w:rFonts w:hint="eastAsia" w:ascii="黑体" w:eastAsia="黑体"/>
                      </w:rPr>
                      <w:t>湖南省公路工程标准服务招标文件（2019</w:t>
                    </w:r>
                    <w:r>
                      <w:rPr>
                        <w:rFonts w:hint="eastAsia" w:ascii="黑体" w:eastAsia="黑体"/>
                        <w:spacing w:val="-22"/>
                      </w:rPr>
                      <w:t xml:space="preserve"> 年版</w:t>
                    </w:r>
                    <w:r>
                      <w:rPr>
                        <w:rFonts w:hint="eastAsia" w:ascii="黑体" w:eastAsia="黑体"/>
                      </w:rPr>
                      <w:t>）</w:t>
                    </w:r>
                  </w:p>
                </w:txbxContent>
              </v:textbox>
            </v:shape>
          </w:pict>
        </mc:Fallback>
      </mc:AlternateContent>
    </w:r>
    <w:r>
      <mc:AlternateContent>
        <mc:Choice Requires="wps">
          <w:drawing>
            <wp:anchor distT="0" distB="0" distL="114300" distR="114300" simplePos="0" relativeHeight="251660288" behindDoc="1" locked="0" layoutInCell="1" allowOverlap="1">
              <wp:simplePos x="0" y="0"/>
              <wp:positionH relativeFrom="page">
                <wp:posOffset>0</wp:posOffset>
              </wp:positionH>
              <wp:positionV relativeFrom="page">
                <wp:posOffset>0</wp:posOffset>
              </wp:positionV>
              <wp:extent cx="7560310" cy="817880"/>
              <wp:effectExtent l="0" t="0" r="13970" b="5080"/>
              <wp:wrapNone/>
              <wp:docPr id="98" name="矩形 11"/>
              <wp:cNvGraphicFramePr/>
              <a:graphic xmlns:a="http://schemas.openxmlformats.org/drawingml/2006/main">
                <a:graphicData uri="http://schemas.microsoft.com/office/word/2010/wordprocessingShape">
                  <wps:wsp>
                    <wps:cNvSpPr/>
                    <wps:spPr>
                      <a:xfrm>
                        <a:off x="0" y="0"/>
                        <a:ext cx="7560310" cy="817880"/>
                      </a:xfrm>
                      <a:prstGeom prst="rect">
                        <a:avLst/>
                      </a:prstGeom>
                      <a:solidFill>
                        <a:srgbClr val="FFFFFF"/>
                      </a:solidFill>
                      <a:ln>
                        <a:noFill/>
                      </a:ln>
                    </wps:spPr>
                    <wps:bodyPr upright="1"/>
                  </wps:wsp>
                </a:graphicData>
              </a:graphic>
            </wp:anchor>
          </w:drawing>
        </mc:Choice>
        <mc:Fallback>
          <w:pict>
            <v:rect id="矩形 11" o:spid="_x0000_s1026" o:spt="1" style="position:absolute;left:0pt;margin-left:0pt;margin-top:0pt;height:64.4pt;width:595.3pt;mso-position-horizontal-relative:page;mso-position-vertical-relative:page;z-index:-251656192;mso-width-relative:page;mso-height-relative:page;" fillcolor="#FFFFFF" filled="t" stroked="f" coordsize="21600,21600" o:gfxdata="UEsDBAoAAAAAAIdO4kAAAAAAAAAAAAAAAAAEAAAAZHJzL1BLAwQUAAAACACHTuJAUrfuYdUAAAAG&#10;AQAADwAAAGRycy9kb3ducmV2LnhtbE2PMU/DMBCF90r9D9ZVYmvtFIjSEKcDUidgoEVivcbXJCI+&#10;h9hpw7/HZaHL6Z3e6b3viu1kO3GmwbeONSQrBYK4cqblWsPHYbfMQPiAbLBzTBp+yMO2nM8KzI27&#10;8Dud96EWMYR9jhqaEPpcSl81ZNGvXE8cvZMbLIa4DrU0A15iuO3kWqlUWmw5NjTY03ND1dd+tBow&#10;fTDfb6f718PLmOKmntTu8VNpfbdI1BOIQFP4P4YrfkSHMjId3cjGi05DfCT8zauXbFQK4hjVOstA&#10;loW8xS9/AVBLAwQUAAAACACHTuJA0SP6HbQBAABhAwAADgAAAGRycy9lMm9Eb2MueG1srVPNjtMw&#10;EL4j8Q6W79TJInZL1HQPVOWCYKVlH8B1nMSS/zTjNu3TIHHjIXgcxGswdkoXlsseyMGZ8cx8M983&#10;yer26Cw7aEATfMvrRcWZ9ip0xg8tf/i8fbXkDJP0nbTB65afNPLb9csXqyk2+iqMwXYaGIF4bKbY&#10;8jGl2AiBatRO4iJE7SnYB3AykQuD6EBOhO6suKqqazEF6CIEpRHpdjMH+RkRngMY+t4ovQlq77RP&#10;MypoKxNRwtFE5Osybd9rlT71PerEbMuJaSonNSF7l0+xXslmABlHo84jyOeM8ISTk8ZT0wvURibJ&#10;9mD+gXJGQcDQp4UKTsxEiiLEoq6eaHM/yqgLF5Ia40V0/H+w6uPhDpjpWv6W9u6lo43//PLtx/ev&#10;rK6zOlPEhpLu4x2cPSQzUz324PKbSLBjUfR0UVQfE1N0efPmunpdk9iKYsv6ZrkskovH6giY3uvg&#10;WDZaDrSxIqQ8fMBEHSn1d0puhsGabmusLQ4Mu3cW2EHSdrflySNTyV9p1udkH3LZHM43IjObuWRr&#10;F7oTKbGPYIaRBinkSw4pXzDPX0le7Z9+QXr8M9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FK3&#10;7mHVAAAABgEAAA8AAAAAAAAAAQAgAAAAIgAAAGRycy9kb3ducmV2LnhtbFBLAQIUABQAAAAIAIdO&#10;4kDRI/odtAEAAGEDAAAOAAAAAAAAAAEAIAAAACQBAABkcnMvZTJvRG9jLnhtbFBLBQYAAAAABgAG&#10;AFkBAABKBQAAAAA=&#10;">
              <v:fill on="t" focussize="0,0"/>
              <v:stroke on="f"/>
              <v:imagedata o:title=""/>
              <o:lock v:ext="edit" aspectratio="f"/>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14" w:lineRule="auto"/>
      <w:rPr>
        <w:sz w:val="20"/>
      </w:rPr>
    </w:pPr>
    <w:r>
      <mc:AlternateContent>
        <mc:Choice Requires="wps">
          <w:drawing>
            <wp:anchor distT="0" distB="0" distL="114300" distR="114300" simplePos="0" relativeHeight="251662336" behindDoc="1" locked="0" layoutInCell="1" allowOverlap="1">
              <wp:simplePos x="0" y="0"/>
              <wp:positionH relativeFrom="page">
                <wp:posOffset>3451225</wp:posOffset>
              </wp:positionH>
              <wp:positionV relativeFrom="page">
                <wp:posOffset>560070</wp:posOffset>
              </wp:positionV>
              <wp:extent cx="3100070" cy="132715"/>
              <wp:effectExtent l="0" t="0" r="0" b="0"/>
              <wp:wrapNone/>
              <wp:docPr id="101" name="文本框 14"/>
              <wp:cNvGraphicFramePr/>
              <a:graphic xmlns:a="http://schemas.openxmlformats.org/drawingml/2006/main">
                <a:graphicData uri="http://schemas.microsoft.com/office/word/2010/wordprocessingShape">
                  <wps:wsp>
                    <wps:cNvSpPr txBox="1"/>
                    <wps:spPr>
                      <a:xfrm>
                        <a:off x="0" y="0"/>
                        <a:ext cx="3100070" cy="132715"/>
                      </a:xfrm>
                      <a:prstGeom prst="rect">
                        <a:avLst/>
                      </a:prstGeom>
                      <a:noFill/>
                      <a:ln>
                        <a:noFill/>
                      </a:ln>
                    </wps:spPr>
                    <wps:txbx>
                      <w:txbxContent>
                        <w:p>
                          <w:pPr>
                            <w:spacing w:line="209" w:lineRule="exact"/>
                            <w:jc w:val="left"/>
                            <w:rPr>
                              <w:rFonts w:ascii="黑体" w:eastAsia="黑体"/>
                            </w:rPr>
                          </w:pPr>
                          <w:r>
                            <w:rPr>
                              <w:rFonts w:hint="eastAsia" w:ascii="黑体" w:eastAsia="黑体"/>
                            </w:rPr>
                            <w:t>湖南省公路工程标准服务招标文件（2019</w:t>
                          </w:r>
                          <w:r>
                            <w:rPr>
                              <w:rFonts w:hint="eastAsia" w:ascii="黑体" w:eastAsia="黑体"/>
                              <w:spacing w:val="-22"/>
                            </w:rPr>
                            <w:t xml:space="preserve"> 年版</w:t>
                          </w:r>
                          <w:r>
                            <w:rPr>
                              <w:rFonts w:hint="eastAsia" w:ascii="黑体" w:eastAsia="黑体"/>
                            </w:rPr>
                            <w:t>）</w:t>
                          </w:r>
                        </w:p>
                      </w:txbxContent>
                    </wps:txbx>
                    <wps:bodyPr lIns="0" tIns="0" rIns="0" bIns="0" upright="1"/>
                  </wps:wsp>
                </a:graphicData>
              </a:graphic>
            </wp:anchor>
          </w:drawing>
        </mc:Choice>
        <mc:Fallback>
          <w:pict>
            <v:shape id="文本框 14" o:spid="_x0000_s1026" o:spt="202" type="#_x0000_t202" style="position:absolute;left:0pt;margin-left:271.75pt;margin-top:44.1pt;height:10.45pt;width:244.1pt;mso-position-horizontal-relative:page;mso-position-vertical-relative:page;z-index:-251654144;mso-width-relative:page;mso-height-relative:page;" filled="f" stroked="f" coordsize="21600,21600" o:gfxdata="UEsDBAoAAAAAAIdO4kAAAAAAAAAAAAAAAAAEAAAAZHJzL1BLAwQUAAAACACHTuJAMjPNtdoAAAAL&#10;AQAADwAAAGRycy9kb3ducmV2LnhtbE2Py07DMBBF90j8gzVI7KidlpY0jVMhBCskRBoWXTrxNLEa&#10;j0PsPvh7nBXsZjRHd87Nt1fbszOO3jiSkMwEMKTGaUOthK/q7SEF5oMirXpHKOEHPWyL25tcZdpd&#10;qMTzLrQshpDPlIQuhCHj3DcdWuVnbkCKt4MbrQpxHVuuR3WJ4bbncyFW3CpD8UOnBnzpsDnuTlbC&#10;857KV/P9UX+Wh9JU1VrQ++oo5f1dIjbAAl7DHwyTflSHIjrV7kTas17C8nGxjKiENJ0DmwCxSJ6A&#10;1dO0ToAXOf/fofgFUEsDBBQAAAAIAIdO4kBnJqSMuwEAAHUDAAAOAAAAZHJzL2Uyb0RvYy54bWyt&#10;U8GO0zAQvSPxD5bv1EkXWBQ1XQlVi5AQIO3yAa5jN5Zsj2W7TfoD8AecuHDnu/odjJ2mC8tlD1yc&#10;yczkzXtvnNXNaA05yBA1uJbWi4oS6QR02u1a+uX+9sUbSmLiruMGnGzpUUZ6s37+bDX4Ri6hB9PJ&#10;QBDExWbwLe1T8g1jUfTS8rgALx0WFQTLE76GHesCHxDdGrasqtdsgND5AELGiNnNVKRnxPAUQFBK&#10;C7kBsbfSpQk1SMMTSoq99pGuC1ulpEiflIoyEdNSVJrKiUMw3uaTrVe82QXuey3OFPhTKDzSZLl2&#10;OPQCteGJk33Q/0BZLQJEUGkhwLJJSHEEVdTVI2/ueu5l0YJWR38xPf4/WPHx8DkQ3eFNqGpKHLe4&#10;8tP3b6cfv04/v5L6ZXZo8LHBxjuPrWl8CyN2z/mIySx8VMHmJ0oiWEd/jxd/5ZiIwORVXVXVNZYE&#10;1uqr5XX9KsOwh699iOmdBEty0NKA+yu28sOHmKbWuSUPc3CrjSk7NO6vBGLmDMvUJ4o5SuN2POvZ&#10;QndEOea9QzfzzZiDMAfbOdj7oHc90imiCyRuo/A+35y87j/fy+CHv2X9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DIzzbXaAAAACwEAAA8AAAAAAAAAAQAgAAAAIgAAAGRycy9kb3ducmV2LnhtbFBL&#10;AQIUABQAAAAIAIdO4kBnJqSMuwEAAHUDAAAOAAAAAAAAAAEAIAAAACkBAABkcnMvZTJvRG9jLnht&#10;bFBLBQYAAAAABgAGAFkBAABWBQAAAAA=&#10;">
              <v:fill on="f" focussize="0,0"/>
              <v:stroke on="f"/>
              <v:imagedata o:title=""/>
              <o:lock v:ext="edit" aspectratio="f"/>
              <v:textbox inset="0mm,0mm,0mm,0mm">
                <w:txbxContent>
                  <w:p>
                    <w:pPr>
                      <w:spacing w:line="209" w:lineRule="exact"/>
                      <w:jc w:val="left"/>
                      <w:rPr>
                        <w:rFonts w:ascii="黑体" w:eastAsia="黑体"/>
                      </w:rPr>
                    </w:pPr>
                    <w:r>
                      <w:rPr>
                        <w:rFonts w:hint="eastAsia" w:ascii="黑体" w:eastAsia="黑体"/>
                      </w:rPr>
                      <w:t>湖南省公路工程标准服务招标文件（2019</w:t>
                    </w:r>
                    <w:r>
                      <w:rPr>
                        <w:rFonts w:hint="eastAsia" w:ascii="黑体" w:eastAsia="黑体"/>
                        <w:spacing w:val="-22"/>
                      </w:rPr>
                      <w:t xml:space="preserve"> 年版</w:t>
                    </w:r>
                    <w:r>
                      <w:rPr>
                        <w:rFonts w:hint="eastAsia" w:ascii="黑体" w:eastAsia="黑体"/>
                      </w:rPr>
                      <w:t>）</w:t>
                    </w:r>
                  </w:p>
                </w:txbxContent>
              </v:textbox>
            </v:shape>
          </w:pict>
        </mc:Fallback>
      </mc:AlternateContent>
    </w:r>
    <w:r>
      <mc:AlternateContent>
        <mc:Choice Requires="wps">
          <w:drawing>
            <wp:anchor distT="0" distB="0" distL="114300" distR="114300" simplePos="0" relativeHeight="251663360" behindDoc="1" locked="0" layoutInCell="1" allowOverlap="1">
              <wp:simplePos x="0" y="0"/>
              <wp:positionH relativeFrom="page">
                <wp:posOffset>0</wp:posOffset>
              </wp:positionH>
              <wp:positionV relativeFrom="page">
                <wp:posOffset>0</wp:posOffset>
              </wp:positionV>
              <wp:extent cx="7560310" cy="817880"/>
              <wp:effectExtent l="0" t="0" r="13970" b="5080"/>
              <wp:wrapNone/>
              <wp:docPr id="102" name="矩形 15"/>
              <wp:cNvGraphicFramePr/>
              <a:graphic xmlns:a="http://schemas.openxmlformats.org/drawingml/2006/main">
                <a:graphicData uri="http://schemas.microsoft.com/office/word/2010/wordprocessingShape">
                  <wps:wsp>
                    <wps:cNvSpPr/>
                    <wps:spPr>
                      <a:xfrm>
                        <a:off x="0" y="0"/>
                        <a:ext cx="7560310" cy="817880"/>
                      </a:xfrm>
                      <a:prstGeom prst="rect">
                        <a:avLst/>
                      </a:prstGeom>
                      <a:solidFill>
                        <a:srgbClr val="FFFFFF"/>
                      </a:solidFill>
                      <a:ln>
                        <a:noFill/>
                      </a:ln>
                    </wps:spPr>
                    <wps:bodyPr upright="1"/>
                  </wps:wsp>
                </a:graphicData>
              </a:graphic>
            </wp:anchor>
          </w:drawing>
        </mc:Choice>
        <mc:Fallback>
          <w:pict>
            <v:rect id="矩形 15" o:spid="_x0000_s1026" o:spt="1" style="position:absolute;left:0pt;margin-left:0pt;margin-top:0pt;height:64.4pt;width:595.3pt;mso-position-horizontal-relative:page;mso-position-vertical-relative:page;z-index:-251653120;mso-width-relative:page;mso-height-relative:page;" fillcolor="#FFFFFF" filled="t" stroked="f" coordsize="21600,21600" o:gfxdata="UEsDBAoAAAAAAIdO4kAAAAAAAAAAAAAAAAAEAAAAZHJzL1BLAwQUAAAACACHTuJAUrfuYdUAAAAG&#10;AQAADwAAAGRycy9kb3ducmV2LnhtbE2PMU/DMBCF90r9D9ZVYmvtFIjSEKcDUidgoEVivcbXJCI+&#10;h9hpw7/HZaHL6Z3e6b3viu1kO3GmwbeONSQrBYK4cqblWsPHYbfMQPiAbLBzTBp+yMO2nM8KzI27&#10;8Dud96EWMYR9jhqaEPpcSl81ZNGvXE8cvZMbLIa4DrU0A15iuO3kWqlUWmw5NjTY03ND1dd+tBow&#10;fTDfb6f718PLmOKmntTu8VNpfbdI1BOIQFP4P4YrfkSHMjId3cjGi05DfCT8zauXbFQK4hjVOstA&#10;loW8xS9/AVBLAwQUAAAACACHTuJAqIpLaLUBAABiAwAADgAAAGRycy9lMm9Eb2MueG1srVNLbtsw&#10;EN0X6B0I7mtJLpIYguUsajiboA2Q9gA0RUkE+MMMbdmnKdBdD9HjFL1Gh5Tj/DZZRAtqhjN8M+8N&#10;ubw+WMP2ClB71/BqVnKmnPStdn3Df3zffFpwhlG4VhjvVMOPCvn16uOH5RhqNfeDN60CRiAO6zE0&#10;fIgx1EWBclBW4MwH5SjYebAikgt90YIYCd2aYl6Wl8XooQ3gpUKk3fUU5CdEeAug7zot1drLnVUu&#10;TqigjIhECQcdkK9yt12nZPzWdagiMw0npjGvVITsbVqL1VLUPYgwaHlqQbylhRecrNCOip6h1iIK&#10;tgP9CspqCR59F2fS22IikhUhFlX5Qpv7QQSVuZDUGM6i4/vByq/7O2C6pZtQzjlzwtLI//38/ffP&#10;L1ZdJHnGgDVl3Yc7OHlIZuJ66MCmP7Fghyzp8SypOkQmafPq4rL8XJHakmKL6mqxyJoXj6cDYLxR&#10;3rJkNBxoZFlJsb/FSBUp9SElFUNvdLvRxmQH+u0XA2wvaLyb/KWW6cizNONSsvPp2BROO0ViNnFJ&#10;1ta3R5JiF0D3AzVSZaQUIekz5umapNk+9TPS49NY/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S&#10;t+5h1QAAAAYBAAAPAAAAAAAAAAEAIAAAACIAAABkcnMvZG93bnJldi54bWxQSwECFAAUAAAACACH&#10;TuJAqIpLaLUBAABiAwAADgAAAAAAAAABACAAAAAkAQAAZHJzL2Uyb0RvYy54bWxQSwUGAAAAAAYA&#10;BgBZAQAASwUAAAAA&#10;">
              <v:fill on="t" focussize="0,0"/>
              <v:stroke on="f"/>
              <v:imagedata o:title=""/>
              <o:lock v:ext="edit" aspectratio="f"/>
            </v:rect>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single" w:color="auto" w:sz="4" w:space="1"/>
      </w:pBdr>
      <w:topLinePunct/>
      <w:spacing w:line="240" w:lineRule="atLeast"/>
      <w:ind w:right="190"/>
      <w:jc w:val="right"/>
      <w:rPr>
        <w:rStyle w:val="135"/>
        <w:rFonts w:ascii="黑体" w:hAnsi="黑体" w:eastAsia="黑体"/>
        <w:kern w:val="10"/>
        <w:sz w:val="21"/>
        <w:szCs w:val="21"/>
      </w:rPr>
    </w:pPr>
  </w:p>
  <w:p>
    <w:pPr>
      <w:pStyle w:val="23"/>
      <w:rPr>
        <w:b/>
        <w:szCs w:val="17"/>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szCs w:val="17"/>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E3C032"/>
    <w:multiLevelType w:val="singleLevel"/>
    <w:tmpl w:val="E9E3C032"/>
    <w:lvl w:ilvl="0" w:tentative="0">
      <w:start w:val="1"/>
      <w:numFmt w:val="decimal"/>
      <w:lvlText w:val="(%1)"/>
      <w:lvlJc w:val="left"/>
      <w:pPr>
        <w:tabs>
          <w:tab w:val="left" w:pos="312"/>
        </w:tabs>
      </w:pPr>
    </w:lvl>
  </w:abstractNum>
  <w:abstractNum w:abstractNumId="1">
    <w:nsid w:val="2F144275"/>
    <w:multiLevelType w:val="singleLevel"/>
    <w:tmpl w:val="2F144275"/>
    <w:lvl w:ilvl="0" w:tentative="0">
      <w:start w:val="1"/>
      <w:numFmt w:val="chineseCounting"/>
      <w:suff w:val="nothing"/>
      <w:lvlText w:val="%1、"/>
      <w:lvlJc w:val="left"/>
      <w:rPr>
        <w:rFonts w:hint="eastAsia"/>
      </w:rPr>
    </w:lvl>
  </w:abstractNum>
  <w:abstractNum w:abstractNumId="2">
    <w:nsid w:val="4CD1E351"/>
    <w:multiLevelType w:val="multilevel"/>
    <w:tmpl w:val="4CD1E351"/>
    <w:lvl w:ilvl="0" w:tentative="0">
      <w:start w:val="1"/>
      <w:numFmt w:val="lowerLetter"/>
      <w:lvlText w:val="%1."/>
      <w:lvlJc w:val="left"/>
      <w:pPr>
        <w:ind w:left="106" w:hanging="154"/>
      </w:pPr>
      <w:rPr>
        <w:rFonts w:hint="default" w:ascii="Times New Roman" w:hAnsi="Times New Roman" w:eastAsia="Times New Roman" w:cs="Times New Roman"/>
        <w:w w:val="99"/>
        <w:sz w:val="19"/>
        <w:szCs w:val="19"/>
        <w:lang w:val="zh-CN" w:eastAsia="zh-CN" w:bidi="zh-CN"/>
      </w:rPr>
    </w:lvl>
    <w:lvl w:ilvl="1" w:tentative="0">
      <w:start w:val="0"/>
      <w:numFmt w:val="bullet"/>
      <w:lvlText w:val="•"/>
      <w:lvlJc w:val="left"/>
      <w:pPr>
        <w:ind w:left="751" w:hanging="154"/>
      </w:pPr>
      <w:rPr>
        <w:rFonts w:hint="default"/>
        <w:lang w:val="zh-CN" w:eastAsia="zh-CN" w:bidi="zh-CN"/>
      </w:rPr>
    </w:lvl>
    <w:lvl w:ilvl="2" w:tentative="0">
      <w:start w:val="0"/>
      <w:numFmt w:val="bullet"/>
      <w:lvlText w:val="•"/>
      <w:lvlJc w:val="left"/>
      <w:pPr>
        <w:ind w:left="1402" w:hanging="154"/>
      </w:pPr>
      <w:rPr>
        <w:rFonts w:hint="default"/>
        <w:lang w:val="zh-CN" w:eastAsia="zh-CN" w:bidi="zh-CN"/>
      </w:rPr>
    </w:lvl>
    <w:lvl w:ilvl="3" w:tentative="0">
      <w:start w:val="0"/>
      <w:numFmt w:val="bullet"/>
      <w:lvlText w:val="•"/>
      <w:lvlJc w:val="left"/>
      <w:pPr>
        <w:ind w:left="2053" w:hanging="154"/>
      </w:pPr>
      <w:rPr>
        <w:rFonts w:hint="default"/>
        <w:lang w:val="zh-CN" w:eastAsia="zh-CN" w:bidi="zh-CN"/>
      </w:rPr>
    </w:lvl>
    <w:lvl w:ilvl="4" w:tentative="0">
      <w:start w:val="0"/>
      <w:numFmt w:val="bullet"/>
      <w:lvlText w:val="•"/>
      <w:lvlJc w:val="left"/>
      <w:pPr>
        <w:ind w:left="2704" w:hanging="154"/>
      </w:pPr>
      <w:rPr>
        <w:rFonts w:hint="default"/>
        <w:lang w:val="zh-CN" w:eastAsia="zh-CN" w:bidi="zh-CN"/>
      </w:rPr>
    </w:lvl>
    <w:lvl w:ilvl="5" w:tentative="0">
      <w:start w:val="0"/>
      <w:numFmt w:val="bullet"/>
      <w:lvlText w:val="•"/>
      <w:lvlJc w:val="left"/>
      <w:pPr>
        <w:ind w:left="3356" w:hanging="154"/>
      </w:pPr>
      <w:rPr>
        <w:rFonts w:hint="default"/>
        <w:lang w:val="zh-CN" w:eastAsia="zh-CN" w:bidi="zh-CN"/>
      </w:rPr>
    </w:lvl>
    <w:lvl w:ilvl="6" w:tentative="0">
      <w:start w:val="0"/>
      <w:numFmt w:val="bullet"/>
      <w:lvlText w:val="•"/>
      <w:lvlJc w:val="left"/>
      <w:pPr>
        <w:ind w:left="4007" w:hanging="154"/>
      </w:pPr>
      <w:rPr>
        <w:rFonts w:hint="default"/>
        <w:lang w:val="zh-CN" w:eastAsia="zh-CN" w:bidi="zh-CN"/>
      </w:rPr>
    </w:lvl>
    <w:lvl w:ilvl="7" w:tentative="0">
      <w:start w:val="0"/>
      <w:numFmt w:val="bullet"/>
      <w:lvlText w:val="•"/>
      <w:lvlJc w:val="left"/>
      <w:pPr>
        <w:ind w:left="4658" w:hanging="154"/>
      </w:pPr>
      <w:rPr>
        <w:rFonts w:hint="default"/>
        <w:lang w:val="zh-CN" w:eastAsia="zh-CN" w:bidi="zh-CN"/>
      </w:rPr>
    </w:lvl>
    <w:lvl w:ilvl="8" w:tentative="0">
      <w:start w:val="0"/>
      <w:numFmt w:val="bullet"/>
      <w:lvlText w:val="•"/>
      <w:lvlJc w:val="left"/>
      <w:pPr>
        <w:ind w:left="5309" w:hanging="154"/>
      </w:pPr>
      <w:rPr>
        <w:rFonts w:hint="default"/>
        <w:lang w:val="zh-CN" w:eastAsia="zh-CN" w:bidi="zh-CN"/>
      </w:rPr>
    </w:lvl>
  </w:abstractNum>
  <w:abstractNum w:abstractNumId="3">
    <w:nsid w:val="5A912045"/>
    <w:multiLevelType w:val="singleLevel"/>
    <w:tmpl w:val="5A912045"/>
    <w:lvl w:ilvl="0" w:tentative="0">
      <w:start w:val="1"/>
      <w:numFmt w:val="decimal"/>
      <w:suff w:val="nothing"/>
      <w:lvlText w:val="（%1）"/>
      <w:lvlJc w:val="left"/>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evenAndOddHeaders w:val="1"/>
  <w:drawingGridVerticalSpacing w:val="156"/>
  <w:noPunctuationKerning w:val="1"/>
  <w:characterSpacingControl w:val="compressPunctuation"/>
  <w:noLineBreaksAfter w:lang="zh-CN" w:val="([{·‘“〈《「『【〔〖（．［｛￡￥"/>
  <w:noLineBreaksBefore w:lang="zh-CN" w:val="!),.:;?]}¨·ˇˉ―‖’”…∶、。〃々〉》」』】〕〗！＂＇），．：；？］｀｜｝～￠"/>
  <w:footnotePr>
    <w:footnote w:id="44"/>
    <w:footnote w:id="45"/>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g1NDlmZjk2ZGRjNmMyYjY5NGIxOGJkZGQ4MzllNDEifQ=="/>
  </w:docVars>
  <w:rsids>
    <w:rsidRoot w:val="003F1B91"/>
    <w:rsid w:val="00001BC5"/>
    <w:rsid w:val="00001CD4"/>
    <w:rsid w:val="00002A97"/>
    <w:rsid w:val="00002AEC"/>
    <w:rsid w:val="00003558"/>
    <w:rsid w:val="000041C6"/>
    <w:rsid w:val="000045ED"/>
    <w:rsid w:val="00004A8F"/>
    <w:rsid w:val="00004D50"/>
    <w:rsid w:val="00006EB9"/>
    <w:rsid w:val="000072ED"/>
    <w:rsid w:val="000076A5"/>
    <w:rsid w:val="00007848"/>
    <w:rsid w:val="00010B6E"/>
    <w:rsid w:val="00011D83"/>
    <w:rsid w:val="00012CC6"/>
    <w:rsid w:val="00013924"/>
    <w:rsid w:val="00016D26"/>
    <w:rsid w:val="00017BE9"/>
    <w:rsid w:val="00017BFE"/>
    <w:rsid w:val="000205B5"/>
    <w:rsid w:val="00020654"/>
    <w:rsid w:val="00023D6E"/>
    <w:rsid w:val="00024500"/>
    <w:rsid w:val="0002525D"/>
    <w:rsid w:val="00026D56"/>
    <w:rsid w:val="000278D3"/>
    <w:rsid w:val="00027DBC"/>
    <w:rsid w:val="00030B63"/>
    <w:rsid w:val="000324C0"/>
    <w:rsid w:val="0003385E"/>
    <w:rsid w:val="00033FC5"/>
    <w:rsid w:val="0003696B"/>
    <w:rsid w:val="00040628"/>
    <w:rsid w:val="0004069B"/>
    <w:rsid w:val="00041C37"/>
    <w:rsid w:val="000422F5"/>
    <w:rsid w:val="000426C8"/>
    <w:rsid w:val="000435D9"/>
    <w:rsid w:val="00050FAB"/>
    <w:rsid w:val="000510BA"/>
    <w:rsid w:val="0005329E"/>
    <w:rsid w:val="00054909"/>
    <w:rsid w:val="00055D02"/>
    <w:rsid w:val="000560E9"/>
    <w:rsid w:val="00057196"/>
    <w:rsid w:val="00060528"/>
    <w:rsid w:val="00062168"/>
    <w:rsid w:val="00062C62"/>
    <w:rsid w:val="00066776"/>
    <w:rsid w:val="00066F93"/>
    <w:rsid w:val="00066FBC"/>
    <w:rsid w:val="0007005B"/>
    <w:rsid w:val="0007027A"/>
    <w:rsid w:val="00070F4B"/>
    <w:rsid w:val="00072239"/>
    <w:rsid w:val="00074366"/>
    <w:rsid w:val="00075B10"/>
    <w:rsid w:val="00076061"/>
    <w:rsid w:val="00076AB8"/>
    <w:rsid w:val="000826E1"/>
    <w:rsid w:val="000835CB"/>
    <w:rsid w:val="00087929"/>
    <w:rsid w:val="0009008D"/>
    <w:rsid w:val="00090627"/>
    <w:rsid w:val="00090A6E"/>
    <w:rsid w:val="000910D8"/>
    <w:rsid w:val="0009257B"/>
    <w:rsid w:val="00092A0A"/>
    <w:rsid w:val="00092DFC"/>
    <w:rsid w:val="00093176"/>
    <w:rsid w:val="00095112"/>
    <w:rsid w:val="00095A05"/>
    <w:rsid w:val="000960BC"/>
    <w:rsid w:val="000962EB"/>
    <w:rsid w:val="00096C6B"/>
    <w:rsid w:val="00096D74"/>
    <w:rsid w:val="0009758E"/>
    <w:rsid w:val="00097693"/>
    <w:rsid w:val="000A034F"/>
    <w:rsid w:val="000A0E2B"/>
    <w:rsid w:val="000A1450"/>
    <w:rsid w:val="000A3878"/>
    <w:rsid w:val="000A59E6"/>
    <w:rsid w:val="000A7B51"/>
    <w:rsid w:val="000B0107"/>
    <w:rsid w:val="000B045A"/>
    <w:rsid w:val="000B0831"/>
    <w:rsid w:val="000B0C07"/>
    <w:rsid w:val="000B0F66"/>
    <w:rsid w:val="000B0F8C"/>
    <w:rsid w:val="000B139F"/>
    <w:rsid w:val="000B14CB"/>
    <w:rsid w:val="000B1DE3"/>
    <w:rsid w:val="000B1E52"/>
    <w:rsid w:val="000B1F4C"/>
    <w:rsid w:val="000B2F5E"/>
    <w:rsid w:val="000B38F6"/>
    <w:rsid w:val="000B410F"/>
    <w:rsid w:val="000B4755"/>
    <w:rsid w:val="000B62A0"/>
    <w:rsid w:val="000B65CD"/>
    <w:rsid w:val="000B7303"/>
    <w:rsid w:val="000B7617"/>
    <w:rsid w:val="000B7CA8"/>
    <w:rsid w:val="000C17DD"/>
    <w:rsid w:val="000C36AF"/>
    <w:rsid w:val="000C54E7"/>
    <w:rsid w:val="000C58C9"/>
    <w:rsid w:val="000C6A6E"/>
    <w:rsid w:val="000C72F3"/>
    <w:rsid w:val="000C792F"/>
    <w:rsid w:val="000C79AA"/>
    <w:rsid w:val="000D0A1E"/>
    <w:rsid w:val="000D0F14"/>
    <w:rsid w:val="000D3416"/>
    <w:rsid w:val="000D39A8"/>
    <w:rsid w:val="000D4A0F"/>
    <w:rsid w:val="000D4D64"/>
    <w:rsid w:val="000D5AFA"/>
    <w:rsid w:val="000D76A3"/>
    <w:rsid w:val="000D7AD1"/>
    <w:rsid w:val="000D7E45"/>
    <w:rsid w:val="000E0348"/>
    <w:rsid w:val="000E1178"/>
    <w:rsid w:val="000E1EB6"/>
    <w:rsid w:val="000E2E84"/>
    <w:rsid w:val="000E31D4"/>
    <w:rsid w:val="000E3560"/>
    <w:rsid w:val="000E3C4E"/>
    <w:rsid w:val="000E4489"/>
    <w:rsid w:val="000E46CE"/>
    <w:rsid w:val="000E4F59"/>
    <w:rsid w:val="000E7865"/>
    <w:rsid w:val="000F0A4E"/>
    <w:rsid w:val="000F1AA9"/>
    <w:rsid w:val="000F3EA1"/>
    <w:rsid w:val="000F3F41"/>
    <w:rsid w:val="000F4678"/>
    <w:rsid w:val="000F4AD4"/>
    <w:rsid w:val="000F51D7"/>
    <w:rsid w:val="000F5F43"/>
    <w:rsid w:val="000F6C86"/>
    <w:rsid w:val="00100412"/>
    <w:rsid w:val="00100A37"/>
    <w:rsid w:val="00101A84"/>
    <w:rsid w:val="00101CC1"/>
    <w:rsid w:val="0010260F"/>
    <w:rsid w:val="00103C0E"/>
    <w:rsid w:val="00104168"/>
    <w:rsid w:val="001042F8"/>
    <w:rsid w:val="00104721"/>
    <w:rsid w:val="00104A5C"/>
    <w:rsid w:val="00105FA0"/>
    <w:rsid w:val="0010610B"/>
    <w:rsid w:val="00106DC5"/>
    <w:rsid w:val="00106FCD"/>
    <w:rsid w:val="00107B64"/>
    <w:rsid w:val="001112E1"/>
    <w:rsid w:val="00111DA7"/>
    <w:rsid w:val="00112478"/>
    <w:rsid w:val="0011351B"/>
    <w:rsid w:val="00113978"/>
    <w:rsid w:val="00113A04"/>
    <w:rsid w:val="00116741"/>
    <w:rsid w:val="001173CF"/>
    <w:rsid w:val="00117483"/>
    <w:rsid w:val="00117D73"/>
    <w:rsid w:val="0012437F"/>
    <w:rsid w:val="001243E9"/>
    <w:rsid w:val="0012443B"/>
    <w:rsid w:val="00127A5C"/>
    <w:rsid w:val="00127E34"/>
    <w:rsid w:val="00130A40"/>
    <w:rsid w:val="00130F8E"/>
    <w:rsid w:val="0013273D"/>
    <w:rsid w:val="001327F9"/>
    <w:rsid w:val="00135F21"/>
    <w:rsid w:val="001403F1"/>
    <w:rsid w:val="00142096"/>
    <w:rsid w:val="00142BB8"/>
    <w:rsid w:val="00143254"/>
    <w:rsid w:val="001439C5"/>
    <w:rsid w:val="001442CE"/>
    <w:rsid w:val="00145CFB"/>
    <w:rsid w:val="00152D1D"/>
    <w:rsid w:val="00153A06"/>
    <w:rsid w:val="001549D5"/>
    <w:rsid w:val="001552E4"/>
    <w:rsid w:val="00155C50"/>
    <w:rsid w:val="001562B2"/>
    <w:rsid w:val="00156763"/>
    <w:rsid w:val="00156993"/>
    <w:rsid w:val="00156D10"/>
    <w:rsid w:val="00161043"/>
    <w:rsid w:val="00161BCF"/>
    <w:rsid w:val="001623C6"/>
    <w:rsid w:val="00162DAD"/>
    <w:rsid w:val="00164DEE"/>
    <w:rsid w:val="00165490"/>
    <w:rsid w:val="001668EA"/>
    <w:rsid w:val="001674E1"/>
    <w:rsid w:val="00167556"/>
    <w:rsid w:val="001706A7"/>
    <w:rsid w:val="001709CA"/>
    <w:rsid w:val="00170CE7"/>
    <w:rsid w:val="001716EC"/>
    <w:rsid w:val="00171AE9"/>
    <w:rsid w:val="00171BD1"/>
    <w:rsid w:val="00172846"/>
    <w:rsid w:val="00173FEB"/>
    <w:rsid w:val="001745AC"/>
    <w:rsid w:val="00174821"/>
    <w:rsid w:val="00175160"/>
    <w:rsid w:val="00175F6E"/>
    <w:rsid w:val="001769DE"/>
    <w:rsid w:val="00180784"/>
    <w:rsid w:val="0018093B"/>
    <w:rsid w:val="00181D9E"/>
    <w:rsid w:val="00183FE4"/>
    <w:rsid w:val="001856D8"/>
    <w:rsid w:val="001861AD"/>
    <w:rsid w:val="0018667B"/>
    <w:rsid w:val="001921CF"/>
    <w:rsid w:val="00192C5D"/>
    <w:rsid w:val="00193777"/>
    <w:rsid w:val="00194D26"/>
    <w:rsid w:val="00195CF4"/>
    <w:rsid w:val="0019645A"/>
    <w:rsid w:val="00197C95"/>
    <w:rsid w:val="001A1462"/>
    <w:rsid w:val="001A28C3"/>
    <w:rsid w:val="001A3C13"/>
    <w:rsid w:val="001A49B1"/>
    <w:rsid w:val="001A4A5F"/>
    <w:rsid w:val="001A6381"/>
    <w:rsid w:val="001A6622"/>
    <w:rsid w:val="001A6E60"/>
    <w:rsid w:val="001B044A"/>
    <w:rsid w:val="001B1DAE"/>
    <w:rsid w:val="001B3337"/>
    <w:rsid w:val="001B36C2"/>
    <w:rsid w:val="001B3E82"/>
    <w:rsid w:val="001B59E6"/>
    <w:rsid w:val="001B5E63"/>
    <w:rsid w:val="001B62ED"/>
    <w:rsid w:val="001B798D"/>
    <w:rsid w:val="001C1816"/>
    <w:rsid w:val="001C20FA"/>
    <w:rsid w:val="001C279A"/>
    <w:rsid w:val="001C3BE6"/>
    <w:rsid w:val="001C4CFD"/>
    <w:rsid w:val="001C5AE8"/>
    <w:rsid w:val="001C5C83"/>
    <w:rsid w:val="001C5E4B"/>
    <w:rsid w:val="001C6D43"/>
    <w:rsid w:val="001C70E9"/>
    <w:rsid w:val="001D050E"/>
    <w:rsid w:val="001D0862"/>
    <w:rsid w:val="001D0C43"/>
    <w:rsid w:val="001D1340"/>
    <w:rsid w:val="001D1655"/>
    <w:rsid w:val="001D563E"/>
    <w:rsid w:val="001D652D"/>
    <w:rsid w:val="001D6D75"/>
    <w:rsid w:val="001E14D1"/>
    <w:rsid w:val="001E1763"/>
    <w:rsid w:val="001E312C"/>
    <w:rsid w:val="001E4BE3"/>
    <w:rsid w:val="001E516C"/>
    <w:rsid w:val="001E5740"/>
    <w:rsid w:val="001E6004"/>
    <w:rsid w:val="001E6400"/>
    <w:rsid w:val="001E6A06"/>
    <w:rsid w:val="001E7267"/>
    <w:rsid w:val="001F0F10"/>
    <w:rsid w:val="001F1EDB"/>
    <w:rsid w:val="001F2D90"/>
    <w:rsid w:val="001F4B0F"/>
    <w:rsid w:val="001F5FC1"/>
    <w:rsid w:val="001F6FDD"/>
    <w:rsid w:val="001F7332"/>
    <w:rsid w:val="002010B7"/>
    <w:rsid w:val="00201184"/>
    <w:rsid w:val="00201392"/>
    <w:rsid w:val="002017F2"/>
    <w:rsid w:val="002019D9"/>
    <w:rsid w:val="002035EB"/>
    <w:rsid w:val="0020387C"/>
    <w:rsid w:val="00203E9C"/>
    <w:rsid w:val="00204928"/>
    <w:rsid w:val="00204EA7"/>
    <w:rsid w:val="002062F9"/>
    <w:rsid w:val="0020696B"/>
    <w:rsid w:val="00206B9D"/>
    <w:rsid w:val="002073EE"/>
    <w:rsid w:val="0021298A"/>
    <w:rsid w:val="00213374"/>
    <w:rsid w:val="00213394"/>
    <w:rsid w:val="00213A61"/>
    <w:rsid w:val="00213F14"/>
    <w:rsid w:val="00214281"/>
    <w:rsid w:val="00215D1C"/>
    <w:rsid w:val="00216035"/>
    <w:rsid w:val="00216C5E"/>
    <w:rsid w:val="00217C6E"/>
    <w:rsid w:val="002200AF"/>
    <w:rsid w:val="00220974"/>
    <w:rsid w:val="0022219A"/>
    <w:rsid w:val="002224D8"/>
    <w:rsid w:val="002227E3"/>
    <w:rsid w:val="00222842"/>
    <w:rsid w:val="002237FD"/>
    <w:rsid w:val="0022478F"/>
    <w:rsid w:val="00225968"/>
    <w:rsid w:val="00226869"/>
    <w:rsid w:val="00226DD4"/>
    <w:rsid w:val="002305F1"/>
    <w:rsid w:val="00231162"/>
    <w:rsid w:val="0023202F"/>
    <w:rsid w:val="00232717"/>
    <w:rsid w:val="002339A3"/>
    <w:rsid w:val="00234446"/>
    <w:rsid w:val="0023461C"/>
    <w:rsid w:val="002353E4"/>
    <w:rsid w:val="00235ABD"/>
    <w:rsid w:val="00236804"/>
    <w:rsid w:val="00236977"/>
    <w:rsid w:val="00236A10"/>
    <w:rsid w:val="0023707E"/>
    <w:rsid w:val="002372C3"/>
    <w:rsid w:val="002378B3"/>
    <w:rsid w:val="00241E0C"/>
    <w:rsid w:val="0024204B"/>
    <w:rsid w:val="00242AB6"/>
    <w:rsid w:val="00246C53"/>
    <w:rsid w:val="00247358"/>
    <w:rsid w:val="00252EC2"/>
    <w:rsid w:val="00252FB6"/>
    <w:rsid w:val="002548F5"/>
    <w:rsid w:val="00254BEF"/>
    <w:rsid w:val="00254E94"/>
    <w:rsid w:val="0025589C"/>
    <w:rsid w:val="00261C9A"/>
    <w:rsid w:val="00262759"/>
    <w:rsid w:val="00265217"/>
    <w:rsid w:val="00265693"/>
    <w:rsid w:val="002656C4"/>
    <w:rsid w:val="002657D4"/>
    <w:rsid w:val="002658E0"/>
    <w:rsid w:val="00265FF0"/>
    <w:rsid w:val="002706ED"/>
    <w:rsid w:val="00271EAA"/>
    <w:rsid w:val="002735D1"/>
    <w:rsid w:val="00273A33"/>
    <w:rsid w:val="0027457E"/>
    <w:rsid w:val="0027524A"/>
    <w:rsid w:val="00275E37"/>
    <w:rsid w:val="00276978"/>
    <w:rsid w:val="002770C8"/>
    <w:rsid w:val="002770DF"/>
    <w:rsid w:val="00277BD6"/>
    <w:rsid w:val="00277C2A"/>
    <w:rsid w:val="00280450"/>
    <w:rsid w:val="00280FF8"/>
    <w:rsid w:val="002820F2"/>
    <w:rsid w:val="0028326E"/>
    <w:rsid w:val="0028408A"/>
    <w:rsid w:val="00284942"/>
    <w:rsid w:val="0028505D"/>
    <w:rsid w:val="002852D0"/>
    <w:rsid w:val="00285817"/>
    <w:rsid w:val="00285EEB"/>
    <w:rsid w:val="00287BCC"/>
    <w:rsid w:val="00290F6F"/>
    <w:rsid w:val="00292627"/>
    <w:rsid w:val="002930CE"/>
    <w:rsid w:val="002933F4"/>
    <w:rsid w:val="00293C3B"/>
    <w:rsid w:val="00295924"/>
    <w:rsid w:val="0029723D"/>
    <w:rsid w:val="002A04D5"/>
    <w:rsid w:val="002A0F2E"/>
    <w:rsid w:val="002A0FAB"/>
    <w:rsid w:val="002A1181"/>
    <w:rsid w:val="002A1725"/>
    <w:rsid w:val="002A30C9"/>
    <w:rsid w:val="002A4670"/>
    <w:rsid w:val="002A4BD0"/>
    <w:rsid w:val="002A5896"/>
    <w:rsid w:val="002A6101"/>
    <w:rsid w:val="002A6F3C"/>
    <w:rsid w:val="002A773C"/>
    <w:rsid w:val="002B0DFB"/>
    <w:rsid w:val="002B105E"/>
    <w:rsid w:val="002B181B"/>
    <w:rsid w:val="002B305F"/>
    <w:rsid w:val="002B3DD6"/>
    <w:rsid w:val="002B4615"/>
    <w:rsid w:val="002B58B6"/>
    <w:rsid w:val="002B6EBA"/>
    <w:rsid w:val="002B7359"/>
    <w:rsid w:val="002B7798"/>
    <w:rsid w:val="002B7D7A"/>
    <w:rsid w:val="002C007F"/>
    <w:rsid w:val="002C00B6"/>
    <w:rsid w:val="002C012F"/>
    <w:rsid w:val="002C01ED"/>
    <w:rsid w:val="002C0DFF"/>
    <w:rsid w:val="002C2AC5"/>
    <w:rsid w:val="002C406E"/>
    <w:rsid w:val="002C5DBB"/>
    <w:rsid w:val="002C6463"/>
    <w:rsid w:val="002C6478"/>
    <w:rsid w:val="002C663A"/>
    <w:rsid w:val="002D0CDF"/>
    <w:rsid w:val="002D0F7D"/>
    <w:rsid w:val="002D1C8C"/>
    <w:rsid w:val="002D2001"/>
    <w:rsid w:val="002D2EBC"/>
    <w:rsid w:val="002D3795"/>
    <w:rsid w:val="002D47D1"/>
    <w:rsid w:val="002E3E4A"/>
    <w:rsid w:val="002E4297"/>
    <w:rsid w:val="002E43AE"/>
    <w:rsid w:val="002E4A2E"/>
    <w:rsid w:val="002E4C32"/>
    <w:rsid w:val="002E501B"/>
    <w:rsid w:val="002E558E"/>
    <w:rsid w:val="002E5802"/>
    <w:rsid w:val="002E5EC5"/>
    <w:rsid w:val="002E6764"/>
    <w:rsid w:val="002E6884"/>
    <w:rsid w:val="002E74C3"/>
    <w:rsid w:val="002E7F42"/>
    <w:rsid w:val="002F0205"/>
    <w:rsid w:val="002F124A"/>
    <w:rsid w:val="002F421D"/>
    <w:rsid w:val="002F6238"/>
    <w:rsid w:val="002F70C6"/>
    <w:rsid w:val="002F7F59"/>
    <w:rsid w:val="003005CE"/>
    <w:rsid w:val="00301997"/>
    <w:rsid w:val="00301E0C"/>
    <w:rsid w:val="00301E6C"/>
    <w:rsid w:val="0030302B"/>
    <w:rsid w:val="00303B2D"/>
    <w:rsid w:val="0030411A"/>
    <w:rsid w:val="00306FC4"/>
    <w:rsid w:val="00307521"/>
    <w:rsid w:val="00307C2B"/>
    <w:rsid w:val="00310BD3"/>
    <w:rsid w:val="00310F6F"/>
    <w:rsid w:val="00310F81"/>
    <w:rsid w:val="003119D9"/>
    <w:rsid w:val="00311C17"/>
    <w:rsid w:val="00311E47"/>
    <w:rsid w:val="00313833"/>
    <w:rsid w:val="00313B76"/>
    <w:rsid w:val="0031455A"/>
    <w:rsid w:val="00315B0C"/>
    <w:rsid w:val="003166F5"/>
    <w:rsid w:val="00317D46"/>
    <w:rsid w:val="00322268"/>
    <w:rsid w:val="0032303B"/>
    <w:rsid w:val="00323FE3"/>
    <w:rsid w:val="0032444F"/>
    <w:rsid w:val="00325D0B"/>
    <w:rsid w:val="00326A59"/>
    <w:rsid w:val="00326BD5"/>
    <w:rsid w:val="00326ECA"/>
    <w:rsid w:val="003305C4"/>
    <w:rsid w:val="003318A0"/>
    <w:rsid w:val="00331E5F"/>
    <w:rsid w:val="00332EAB"/>
    <w:rsid w:val="003337F5"/>
    <w:rsid w:val="00333D5C"/>
    <w:rsid w:val="00335AC7"/>
    <w:rsid w:val="00335CDC"/>
    <w:rsid w:val="00336010"/>
    <w:rsid w:val="00336741"/>
    <w:rsid w:val="00340E7C"/>
    <w:rsid w:val="00340F30"/>
    <w:rsid w:val="00342094"/>
    <w:rsid w:val="003426DD"/>
    <w:rsid w:val="00342BE4"/>
    <w:rsid w:val="0034458D"/>
    <w:rsid w:val="00344EAF"/>
    <w:rsid w:val="00345D6D"/>
    <w:rsid w:val="00346F18"/>
    <w:rsid w:val="0034766B"/>
    <w:rsid w:val="0035047E"/>
    <w:rsid w:val="00353CBB"/>
    <w:rsid w:val="00355E6A"/>
    <w:rsid w:val="003568D6"/>
    <w:rsid w:val="0035693A"/>
    <w:rsid w:val="00357097"/>
    <w:rsid w:val="0035732D"/>
    <w:rsid w:val="00357AD3"/>
    <w:rsid w:val="00360C70"/>
    <w:rsid w:val="0036215C"/>
    <w:rsid w:val="00366B28"/>
    <w:rsid w:val="00367E7F"/>
    <w:rsid w:val="003708ED"/>
    <w:rsid w:val="00370917"/>
    <w:rsid w:val="00370919"/>
    <w:rsid w:val="00370DC1"/>
    <w:rsid w:val="0037431B"/>
    <w:rsid w:val="00374EF6"/>
    <w:rsid w:val="00375790"/>
    <w:rsid w:val="00375CA1"/>
    <w:rsid w:val="00376C45"/>
    <w:rsid w:val="00376F5E"/>
    <w:rsid w:val="003800A8"/>
    <w:rsid w:val="003800B7"/>
    <w:rsid w:val="00380AA9"/>
    <w:rsid w:val="00381971"/>
    <w:rsid w:val="00384D71"/>
    <w:rsid w:val="00384FD0"/>
    <w:rsid w:val="00385C02"/>
    <w:rsid w:val="00386CB3"/>
    <w:rsid w:val="00387513"/>
    <w:rsid w:val="00387A64"/>
    <w:rsid w:val="00390A1A"/>
    <w:rsid w:val="003921AB"/>
    <w:rsid w:val="0039243E"/>
    <w:rsid w:val="00392532"/>
    <w:rsid w:val="00392DF4"/>
    <w:rsid w:val="003962DB"/>
    <w:rsid w:val="0039663A"/>
    <w:rsid w:val="00397025"/>
    <w:rsid w:val="003A0023"/>
    <w:rsid w:val="003A05AA"/>
    <w:rsid w:val="003A0E94"/>
    <w:rsid w:val="003A195C"/>
    <w:rsid w:val="003A1D4F"/>
    <w:rsid w:val="003A1FC9"/>
    <w:rsid w:val="003A218D"/>
    <w:rsid w:val="003A2BC3"/>
    <w:rsid w:val="003A2CFD"/>
    <w:rsid w:val="003A5827"/>
    <w:rsid w:val="003A6DA2"/>
    <w:rsid w:val="003A6EF9"/>
    <w:rsid w:val="003A7071"/>
    <w:rsid w:val="003A7235"/>
    <w:rsid w:val="003A7668"/>
    <w:rsid w:val="003B18BA"/>
    <w:rsid w:val="003B24B8"/>
    <w:rsid w:val="003B3BA5"/>
    <w:rsid w:val="003B412C"/>
    <w:rsid w:val="003B5062"/>
    <w:rsid w:val="003B53DE"/>
    <w:rsid w:val="003B540A"/>
    <w:rsid w:val="003B6CB4"/>
    <w:rsid w:val="003B743A"/>
    <w:rsid w:val="003B7932"/>
    <w:rsid w:val="003B7B44"/>
    <w:rsid w:val="003C006C"/>
    <w:rsid w:val="003C0952"/>
    <w:rsid w:val="003C0F6A"/>
    <w:rsid w:val="003C14B3"/>
    <w:rsid w:val="003C1EA8"/>
    <w:rsid w:val="003C2619"/>
    <w:rsid w:val="003C346D"/>
    <w:rsid w:val="003C5594"/>
    <w:rsid w:val="003C56BD"/>
    <w:rsid w:val="003C72C7"/>
    <w:rsid w:val="003D0008"/>
    <w:rsid w:val="003D1AB3"/>
    <w:rsid w:val="003D1D85"/>
    <w:rsid w:val="003D2343"/>
    <w:rsid w:val="003D3EA4"/>
    <w:rsid w:val="003D3ED5"/>
    <w:rsid w:val="003D484D"/>
    <w:rsid w:val="003D4C00"/>
    <w:rsid w:val="003D5207"/>
    <w:rsid w:val="003D7BCA"/>
    <w:rsid w:val="003D7EA4"/>
    <w:rsid w:val="003E0D16"/>
    <w:rsid w:val="003E2178"/>
    <w:rsid w:val="003E3F19"/>
    <w:rsid w:val="003E5065"/>
    <w:rsid w:val="003E566B"/>
    <w:rsid w:val="003E6AF2"/>
    <w:rsid w:val="003F0AA4"/>
    <w:rsid w:val="003F1B91"/>
    <w:rsid w:val="003F277A"/>
    <w:rsid w:val="003F29CE"/>
    <w:rsid w:val="003F327F"/>
    <w:rsid w:val="003F4B07"/>
    <w:rsid w:val="003F4B90"/>
    <w:rsid w:val="003F76E8"/>
    <w:rsid w:val="004000EF"/>
    <w:rsid w:val="004018C1"/>
    <w:rsid w:val="00401A77"/>
    <w:rsid w:val="00402D8A"/>
    <w:rsid w:val="00404149"/>
    <w:rsid w:val="0040524F"/>
    <w:rsid w:val="004053A2"/>
    <w:rsid w:val="0040595E"/>
    <w:rsid w:val="0040730B"/>
    <w:rsid w:val="00407F68"/>
    <w:rsid w:val="00411B03"/>
    <w:rsid w:val="00411FA8"/>
    <w:rsid w:val="00413DDC"/>
    <w:rsid w:val="00414062"/>
    <w:rsid w:val="004150F1"/>
    <w:rsid w:val="00416163"/>
    <w:rsid w:val="0041622A"/>
    <w:rsid w:val="00416827"/>
    <w:rsid w:val="00423E91"/>
    <w:rsid w:val="00424A9B"/>
    <w:rsid w:val="00426C79"/>
    <w:rsid w:val="0043085F"/>
    <w:rsid w:val="00432BDD"/>
    <w:rsid w:val="00433D83"/>
    <w:rsid w:val="00433F65"/>
    <w:rsid w:val="00435CBF"/>
    <w:rsid w:val="004376C8"/>
    <w:rsid w:val="004419C5"/>
    <w:rsid w:val="004428E1"/>
    <w:rsid w:val="00442965"/>
    <w:rsid w:val="00442E24"/>
    <w:rsid w:val="004434B7"/>
    <w:rsid w:val="00444EA1"/>
    <w:rsid w:val="00447476"/>
    <w:rsid w:val="00447484"/>
    <w:rsid w:val="0044763C"/>
    <w:rsid w:val="0044771C"/>
    <w:rsid w:val="004500F6"/>
    <w:rsid w:val="00452381"/>
    <w:rsid w:val="004523AB"/>
    <w:rsid w:val="00452833"/>
    <w:rsid w:val="004539F1"/>
    <w:rsid w:val="0045468D"/>
    <w:rsid w:val="004546D2"/>
    <w:rsid w:val="00455E09"/>
    <w:rsid w:val="00460B4F"/>
    <w:rsid w:val="00461DFB"/>
    <w:rsid w:val="004627A5"/>
    <w:rsid w:val="00462823"/>
    <w:rsid w:val="00462E54"/>
    <w:rsid w:val="00463C1F"/>
    <w:rsid w:val="00464463"/>
    <w:rsid w:val="0046597B"/>
    <w:rsid w:val="00466D66"/>
    <w:rsid w:val="00467840"/>
    <w:rsid w:val="00467B02"/>
    <w:rsid w:val="00470428"/>
    <w:rsid w:val="0047050C"/>
    <w:rsid w:val="00470E61"/>
    <w:rsid w:val="00471FEE"/>
    <w:rsid w:val="004722A4"/>
    <w:rsid w:val="00473232"/>
    <w:rsid w:val="004733D4"/>
    <w:rsid w:val="00473680"/>
    <w:rsid w:val="00473D45"/>
    <w:rsid w:val="004740A4"/>
    <w:rsid w:val="004764CF"/>
    <w:rsid w:val="0048082C"/>
    <w:rsid w:val="004808AF"/>
    <w:rsid w:val="00483BE4"/>
    <w:rsid w:val="00485A1F"/>
    <w:rsid w:val="00490CCC"/>
    <w:rsid w:val="0049142A"/>
    <w:rsid w:val="004921D8"/>
    <w:rsid w:val="00494802"/>
    <w:rsid w:val="00494CB3"/>
    <w:rsid w:val="00495041"/>
    <w:rsid w:val="0049522A"/>
    <w:rsid w:val="00496D8B"/>
    <w:rsid w:val="004A083F"/>
    <w:rsid w:val="004A0E84"/>
    <w:rsid w:val="004A2699"/>
    <w:rsid w:val="004A43FF"/>
    <w:rsid w:val="004A4D3D"/>
    <w:rsid w:val="004B05B0"/>
    <w:rsid w:val="004B126D"/>
    <w:rsid w:val="004B1871"/>
    <w:rsid w:val="004B3385"/>
    <w:rsid w:val="004B3C75"/>
    <w:rsid w:val="004B4D5E"/>
    <w:rsid w:val="004B5C45"/>
    <w:rsid w:val="004B5C95"/>
    <w:rsid w:val="004B7C12"/>
    <w:rsid w:val="004C0F7C"/>
    <w:rsid w:val="004C112A"/>
    <w:rsid w:val="004C51DA"/>
    <w:rsid w:val="004C5AAB"/>
    <w:rsid w:val="004D07CC"/>
    <w:rsid w:val="004D1438"/>
    <w:rsid w:val="004D2040"/>
    <w:rsid w:val="004D2576"/>
    <w:rsid w:val="004D26F5"/>
    <w:rsid w:val="004D27D7"/>
    <w:rsid w:val="004D2A8E"/>
    <w:rsid w:val="004D3567"/>
    <w:rsid w:val="004D35D9"/>
    <w:rsid w:val="004D42A6"/>
    <w:rsid w:val="004D5353"/>
    <w:rsid w:val="004D574A"/>
    <w:rsid w:val="004D5C15"/>
    <w:rsid w:val="004D6776"/>
    <w:rsid w:val="004D6871"/>
    <w:rsid w:val="004D7815"/>
    <w:rsid w:val="004E059B"/>
    <w:rsid w:val="004E1519"/>
    <w:rsid w:val="004E19DF"/>
    <w:rsid w:val="004E2207"/>
    <w:rsid w:val="004E222D"/>
    <w:rsid w:val="004E23B9"/>
    <w:rsid w:val="004E3BAF"/>
    <w:rsid w:val="004E49A3"/>
    <w:rsid w:val="004E4AD8"/>
    <w:rsid w:val="004E549A"/>
    <w:rsid w:val="004E566A"/>
    <w:rsid w:val="004E5F0A"/>
    <w:rsid w:val="004E64D2"/>
    <w:rsid w:val="004E6E11"/>
    <w:rsid w:val="004E75B5"/>
    <w:rsid w:val="004E7DF4"/>
    <w:rsid w:val="004F071F"/>
    <w:rsid w:val="004F0CE6"/>
    <w:rsid w:val="004F181C"/>
    <w:rsid w:val="004F1B85"/>
    <w:rsid w:val="004F22B3"/>
    <w:rsid w:val="004F2B1E"/>
    <w:rsid w:val="004F2DEA"/>
    <w:rsid w:val="004F30C3"/>
    <w:rsid w:val="004F3803"/>
    <w:rsid w:val="004F420C"/>
    <w:rsid w:val="004F4A58"/>
    <w:rsid w:val="004F56EA"/>
    <w:rsid w:val="004F59AF"/>
    <w:rsid w:val="004F6D6E"/>
    <w:rsid w:val="00501302"/>
    <w:rsid w:val="00501B14"/>
    <w:rsid w:val="00501E06"/>
    <w:rsid w:val="00502452"/>
    <w:rsid w:val="00504B8A"/>
    <w:rsid w:val="00505E6C"/>
    <w:rsid w:val="005065B1"/>
    <w:rsid w:val="00507453"/>
    <w:rsid w:val="00507CEF"/>
    <w:rsid w:val="00510F9D"/>
    <w:rsid w:val="00511D1E"/>
    <w:rsid w:val="00512F20"/>
    <w:rsid w:val="00513A10"/>
    <w:rsid w:val="005176B8"/>
    <w:rsid w:val="005214FD"/>
    <w:rsid w:val="0052178F"/>
    <w:rsid w:val="005230F6"/>
    <w:rsid w:val="005254D0"/>
    <w:rsid w:val="0052587B"/>
    <w:rsid w:val="005263A3"/>
    <w:rsid w:val="005263E4"/>
    <w:rsid w:val="00532FAE"/>
    <w:rsid w:val="005336D0"/>
    <w:rsid w:val="00533DC1"/>
    <w:rsid w:val="0053447C"/>
    <w:rsid w:val="00535D5D"/>
    <w:rsid w:val="00535ECE"/>
    <w:rsid w:val="00536152"/>
    <w:rsid w:val="00536A3A"/>
    <w:rsid w:val="005370CA"/>
    <w:rsid w:val="005417AF"/>
    <w:rsid w:val="005418CE"/>
    <w:rsid w:val="005422CD"/>
    <w:rsid w:val="00543119"/>
    <w:rsid w:val="0054314C"/>
    <w:rsid w:val="0054314E"/>
    <w:rsid w:val="00543D8F"/>
    <w:rsid w:val="0054518F"/>
    <w:rsid w:val="00545E3D"/>
    <w:rsid w:val="00545ED6"/>
    <w:rsid w:val="00546547"/>
    <w:rsid w:val="00547063"/>
    <w:rsid w:val="005479B0"/>
    <w:rsid w:val="00550224"/>
    <w:rsid w:val="00551784"/>
    <w:rsid w:val="00551C6F"/>
    <w:rsid w:val="00552405"/>
    <w:rsid w:val="00552A6F"/>
    <w:rsid w:val="00553206"/>
    <w:rsid w:val="0055340B"/>
    <w:rsid w:val="00553752"/>
    <w:rsid w:val="00553A6D"/>
    <w:rsid w:val="00553CAB"/>
    <w:rsid w:val="005544A4"/>
    <w:rsid w:val="00554C0F"/>
    <w:rsid w:val="00555B45"/>
    <w:rsid w:val="00560322"/>
    <w:rsid w:val="00560B11"/>
    <w:rsid w:val="00560B69"/>
    <w:rsid w:val="005641F4"/>
    <w:rsid w:val="0056529A"/>
    <w:rsid w:val="005674EF"/>
    <w:rsid w:val="00567C80"/>
    <w:rsid w:val="005705B1"/>
    <w:rsid w:val="0057141C"/>
    <w:rsid w:val="00571B50"/>
    <w:rsid w:val="00571E4E"/>
    <w:rsid w:val="00572A0C"/>
    <w:rsid w:val="00572F3B"/>
    <w:rsid w:val="0057353C"/>
    <w:rsid w:val="0057466C"/>
    <w:rsid w:val="00576BA0"/>
    <w:rsid w:val="0058039E"/>
    <w:rsid w:val="005809DA"/>
    <w:rsid w:val="005817F9"/>
    <w:rsid w:val="0058288B"/>
    <w:rsid w:val="005829C0"/>
    <w:rsid w:val="00583222"/>
    <w:rsid w:val="00584310"/>
    <w:rsid w:val="00584D3A"/>
    <w:rsid w:val="00584EB9"/>
    <w:rsid w:val="005851D0"/>
    <w:rsid w:val="005875CD"/>
    <w:rsid w:val="00590472"/>
    <w:rsid w:val="00590670"/>
    <w:rsid w:val="00591553"/>
    <w:rsid w:val="00591D19"/>
    <w:rsid w:val="0059233D"/>
    <w:rsid w:val="005928DE"/>
    <w:rsid w:val="005930A4"/>
    <w:rsid w:val="005942C1"/>
    <w:rsid w:val="005974F3"/>
    <w:rsid w:val="005A3222"/>
    <w:rsid w:val="005A414F"/>
    <w:rsid w:val="005A50BA"/>
    <w:rsid w:val="005A6494"/>
    <w:rsid w:val="005A7226"/>
    <w:rsid w:val="005B0FCA"/>
    <w:rsid w:val="005B1A0F"/>
    <w:rsid w:val="005B2C8A"/>
    <w:rsid w:val="005B3309"/>
    <w:rsid w:val="005B3E6B"/>
    <w:rsid w:val="005B4A66"/>
    <w:rsid w:val="005B4C4D"/>
    <w:rsid w:val="005B5433"/>
    <w:rsid w:val="005C045C"/>
    <w:rsid w:val="005C0E65"/>
    <w:rsid w:val="005C1F1E"/>
    <w:rsid w:val="005C27A4"/>
    <w:rsid w:val="005C2D22"/>
    <w:rsid w:val="005C3183"/>
    <w:rsid w:val="005C37B5"/>
    <w:rsid w:val="005C4050"/>
    <w:rsid w:val="005C65B0"/>
    <w:rsid w:val="005C6828"/>
    <w:rsid w:val="005C68B1"/>
    <w:rsid w:val="005C7059"/>
    <w:rsid w:val="005C7AD7"/>
    <w:rsid w:val="005C7C8A"/>
    <w:rsid w:val="005D0C75"/>
    <w:rsid w:val="005D1286"/>
    <w:rsid w:val="005D1287"/>
    <w:rsid w:val="005D21E0"/>
    <w:rsid w:val="005D2CC7"/>
    <w:rsid w:val="005D2F3F"/>
    <w:rsid w:val="005D30D1"/>
    <w:rsid w:val="005D3227"/>
    <w:rsid w:val="005D3F98"/>
    <w:rsid w:val="005D5104"/>
    <w:rsid w:val="005D5C12"/>
    <w:rsid w:val="005D7072"/>
    <w:rsid w:val="005E0064"/>
    <w:rsid w:val="005E0215"/>
    <w:rsid w:val="005E0350"/>
    <w:rsid w:val="005E04F9"/>
    <w:rsid w:val="005E1EB5"/>
    <w:rsid w:val="005E2E2E"/>
    <w:rsid w:val="005E2FEB"/>
    <w:rsid w:val="005E491E"/>
    <w:rsid w:val="005E5040"/>
    <w:rsid w:val="005E556B"/>
    <w:rsid w:val="005E579B"/>
    <w:rsid w:val="005E632C"/>
    <w:rsid w:val="005E6BFF"/>
    <w:rsid w:val="005F0467"/>
    <w:rsid w:val="005F1FD9"/>
    <w:rsid w:val="005F207E"/>
    <w:rsid w:val="005F2988"/>
    <w:rsid w:val="005F3D52"/>
    <w:rsid w:val="005F5036"/>
    <w:rsid w:val="005F51AF"/>
    <w:rsid w:val="005F5D84"/>
    <w:rsid w:val="005F61A1"/>
    <w:rsid w:val="005F7FA9"/>
    <w:rsid w:val="00600598"/>
    <w:rsid w:val="0060159B"/>
    <w:rsid w:val="00602BAA"/>
    <w:rsid w:val="006031D1"/>
    <w:rsid w:val="00603D96"/>
    <w:rsid w:val="006042D4"/>
    <w:rsid w:val="00606398"/>
    <w:rsid w:val="00606549"/>
    <w:rsid w:val="00610793"/>
    <w:rsid w:val="00610D08"/>
    <w:rsid w:val="0061118C"/>
    <w:rsid w:val="00611E98"/>
    <w:rsid w:val="006120EC"/>
    <w:rsid w:val="00612132"/>
    <w:rsid w:val="00612409"/>
    <w:rsid w:val="00612574"/>
    <w:rsid w:val="00612902"/>
    <w:rsid w:val="006154B5"/>
    <w:rsid w:val="00620533"/>
    <w:rsid w:val="0062387D"/>
    <w:rsid w:val="00623CF9"/>
    <w:rsid w:val="006240C7"/>
    <w:rsid w:val="006241FF"/>
    <w:rsid w:val="00624EC5"/>
    <w:rsid w:val="00624F34"/>
    <w:rsid w:val="00625CBD"/>
    <w:rsid w:val="00626716"/>
    <w:rsid w:val="006268BF"/>
    <w:rsid w:val="0062799A"/>
    <w:rsid w:val="0063009A"/>
    <w:rsid w:val="006300B4"/>
    <w:rsid w:val="006309FA"/>
    <w:rsid w:val="006312C4"/>
    <w:rsid w:val="00633DE1"/>
    <w:rsid w:val="0063472F"/>
    <w:rsid w:val="00635174"/>
    <w:rsid w:val="00635B30"/>
    <w:rsid w:val="00635D53"/>
    <w:rsid w:val="006364EC"/>
    <w:rsid w:val="00636BBB"/>
    <w:rsid w:val="00637871"/>
    <w:rsid w:val="00637F8B"/>
    <w:rsid w:val="00643120"/>
    <w:rsid w:val="006444C0"/>
    <w:rsid w:val="00644877"/>
    <w:rsid w:val="006467FB"/>
    <w:rsid w:val="006503E6"/>
    <w:rsid w:val="006529AF"/>
    <w:rsid w:val="00652E86"/>
    <w:rsid w:val="00652EB7"/>
    <w:rsid w:val="00653458"/>
    <w:rsid w:val="00653817"/>
    <w:rsid w:val="00653A96"/>
    <w:rsid w:val="00653AB1"/>
    <w:rsid w:val="00653F94"/>
    <w:rsid w:val="0065424C"/>
    <w:rsid w:val="0065453C"/>
    <w:rsid w:val="00655374"/>
    <w:rsid w:val="00655FE6"/>
    <w:rsid w:val="00661FF4"/>
    <w:rsid w:val="00662C1C"/>
    <w:rsid w:val="0066333A"/>
    <w:rsid w:val="006633DF"/>
    <w:rsid w:val="0066677D"/>
    <w:rsid w:val="006676EF"/>
    <w:rsid w:val="006717E0"/>
    <w:rsid w:val="006717EE"/>
    <w:rsid w:val="00673EEA"/>
    <w:rsid w:val="00674434"/>
    <w:rsid w:val="0067618A"/>
    <w:rsid w:val="006763A8"/>
    <w:rsid w:val="00676A8F"/>
    <w:rsid w:val="00676ECB"/>
    <w:rsid w:val="00677A2C"/>
    <w:rsid w:val="00681D4F"/>
    <w:rsid w:val="0068253D"/>
    <w:rsid w:val="00684514"/>
    <w:rsid w:val="00684E3C"/>
    <w:rsid w:val="00685301"/>
    <w:rsid w:val="00687ADC"/>
    <w:rsid w:val="00690DE4"/>
    <w:rsid w:val="006936DB"/>
    <w:rsid w:val="00694A3E"/>
    <w:rsid w:val="00694A8B"/>
    <w:rsid w:val="00695EDF"/>
    <w:rsid w:val="00695F85"/>
    <w:rsid w:val="00696256"/>
    <w:rsid w:val="00696513"/>
    <w:rsid w:val="006970C9"/>
    <w:rsid w:val="00697184"/>
    <w:rsid w:val="006979B4"/>
    <w:rsid w:val="006A126C"/>
    <w:rsid w:val="006A2842"/>
    <w:rsid w:val="006A37B1"/>
    <w:rsid w:val="006A381A"/>
    <w:rsid w:val="006A3D83"/>
    <w:rsid w:val="006A3DD8"/>
    <w:rsid w:val="006A63C1"/>
    <w:rsid w:val="006A65DC"/>
    <w:rsid w:val="006A7E5C"/>
    <w:rsid w:val="006B0D61"/>
    <w:rsid w:val="006B138B"/>
    <w:rsid w:val="006B1EB4"/>
    <w:rsid w:val="006B22EE"/>
    <w:rsid w:val="006B273C"/>
    <w:rsid w:val="006B3A4D"/>
    <w:rsid w:val="006B3B2D"/>
    <w:rsid w:val="006B3DCE"/>
    <w:rsid w:val="006B4BC2"/>
    <w:rsid w:val="006B55C7"/>
    <w:rsid w:val="006B5DAA"/>
    <w:rsid w:val="006B6AC3"/>
    <w:rsid w:val="006B730C"/>
    <w:rsid w:val="006C0010"/>
    <w:rsid w:val="006C0201"/>
    <w:rsid w:val="006C0576"/>
    <w:rsid w:val="006C0EB7"/>
    <w:rsid w:val="006C1402"/>
    <w:rsid w:val="006C31F9"/>
    <w:rsid w:val="006C3AF9"/>
    <w:rsid w:val="006C4BB6"/>
    <w:rsid w:val="006C5428"/>
    <w:rsid w:val="006C6140"/>
    <w:rsid w:val="006C678B"/>
    <w:rsid w:val="006C6AC2"/>
    <w:rsid w:val="006C74F4"/>
    <w:rsid w:val="006C77C4"/>
    <w:rsid w:val="006D0412"/>
    <w:rsid w:val="006D106C"/>
    <w:rsid w:val="006D2C72"/>
    <w:rsid w:val="006D31C2"/>
    <w:rsid w:val="006D4238"/>
    <w:rsid w:val="006D4B37"/>
    <w:rsid w:val="006D4FF9"/>
    <w:rsid w:val="006D5337"/>
    <w:rsid w:val="006D618B"/>
    <w:rsid w:val="006D65ED"/>
    <w:rsid w:val="006D7999"/>
    <w:rsid w:val="006E0103"/>
    <w:rsid w:val="006E09A2"/>
    <w:rsid w:val="006E1E68"/>
    <w:rsid w:val="006E3D3F"/>
    <w:rsid w:val="006E6690"/>
    <w:rsid w:val="006E69A6"/>
    <w:rsid w:val="006E6D50"/>
    <w:rsid w:val="006E7AE4"/>
    <w:rsid w:val="006F0722"/>
    <w:rsid w:val="006F081F"/>
    <w:rsid w:val="006F0DDA"/>
    <w:rsid w:val="006F12C3"/>
    <w:rsid w:val="006F1305"/>
    <w:rsid w:val="006F1666"/>
    <w:rsid w:val="006F2397"/>
    <w:rsid w:val="006F23A7"/>
    <w:rsid w:val="006F5C7E"/>
    <w:rsid w:val="006F5E7D"/>
    <w:rsid w:val="006F633F"/>
    <w:rsid w:val="006F7393"/>
    <w:rsid w:val="006F774D"/>
    <w:rsid w:val="00701713"/>
    <w:rsid w:val="00703029"/>
    <w:rsid w:val="007030D3"/>
    <w:rsid w:val="0070323C"/>
    <w:rsid w:val="00703E56"/>
    <w:rsid w:val="007044A1"/>
    <w:rsid w:val="00704ACF"/>
    <w:rsid w:val="00704CA1"/>
    <w:rsid w:val="00705227"/>
    <w:rsid w:val="00705ABC"/>
    <w:rsid w:val="007065BC"/>
    <w:rsid w:val="007069AA"/>
    <w:rsid w:val="00707A6D"/>
    <w:rsid w:val="00710BFC"/>
    <w:rsid w:val="00710DA8"/>
    <w:rsid w:val="0071178F"/>
    <w:rsid w:val="007120D5"/>
    <w:rsid w:val="00712A68"/>
    <w:rsid w:val="00712F52"/>
    <w:rsid w:val="00713666"/>
    <w:rsid w:val="00714033"/>
    <w:rsid w:val="0071423D"/>
    <w:rsid w:val="00714E70"/>
    <w:rsid w:val="00714EFC"/>
    <w:rsid w:val="00716936"/>
    <w:rsid w:val="00716EA9"/>
    <w:rsid w:val="00720A93"/>
    <w:rsid w:val="007214B2"/>
    <w:rsid w:val="00721D83"/>
    <w:rsid w:val="007227E8"/>
    <w:rsid w:val="00723681"/>
    <w:rsid w:val="007236D1"/>
    <w:rsid w:val="00724000"/>
    <w:rsid w:val="00724754"/>
    <w:rsid w:val="00724B72"/>
    <w:rsid w:val="00724C1D"/>
    <w:rsid w:val="00725515"/>
    <w:rsid w:val="007258D6"/>
    <w:rsid w:val="00725AA3"/>
    <w:rsid w:val="00726BBB"/>
    <w:rsid w:val="00726D1B"/>
    <w:rsid w:val="00726E48"/>
    <w:rsid w:val="00727157"/>
    <w:rsid w:val="0073027A"/>
    <w:rsid w:val="007306DF"/>
    <w:rsid w:val="0073121C"/>
    <w:rsid w:val="0073163B"/>
    <w:rsid w:val="00731922"/>
    <w:rsid w:val="00733BC3"/>
    <w:rsid w:val="00734147"/>
    <w:rsid w:val="00734276"/>
    <w:rsid w:val="00734B85"/>
    <w:rsid w:val="00734F9F"/>
    <w:rsid w:val="00735026"/>
    <w:rsid w:val="0073686D"/>
    <w:rsid w:val="00737261"/>
    <w:rsid w:val="00737826"/>
    <w:rsid w:val="00737986"/>
    <w:rsid w:val="00740008"/>
    <w:rsid w:val="00740575"/>
    <w:rsid w:val="00740CD0"/>
    <w:rsid w:val="00740E94"/>
    <w:rsid w:val="00740EB2"/>
    <w:rsid w:val="007414A0"/>
    <w:rsid w:val="00741C9E"/>
    <w:rsid w:val="00742966"/>
    <w:rsid w:val="00742B7B"/>
    <w:rsid w:val="007431B3"/>
    <w:rsid w:val="00744685"/>
    <w:rsid w:val="0074496E"/>
    <w:rsid w:val="0074598B"/>
    <w:rsid w:val="00745DEE"/>
    <w:rsid w:val="007468F1"/>
    <w:rsid w:val="00747818"/>
    <w:rsid w:val="00747A20"/>
    <w:rsid w:val="00750688"/>
    <w:rsid w:val="0075095D"/>
    <w:rsid w:val="00751479"/>
    <w:rsid w:val="007514EC"/>
    <w:rsid w:val="0075387A"/>
    <w:rsid w:val="00753BC8"/>
    <w:rsid w:val="0075410A"/>
    <w:rsid w:val="00754B91"/>
    <w:rsid w:val="00756A91"/>
    <w:rsid w:val="007574C2"/>
    <w:rsid w:val="00757DCA"/>
    <w:rsid w:val="00757DCD"/>
    <w:rsid w:val="00760683"/>
    <w:rsid w:val="00762228"/>
    <w:rsid w:val="0076272E"/>
    <w:rsid w:val="00763DDD"/>
    <w:rsid w:val="00765559"/>
    <w:rsid w:val="0076637E"/>
    <w:rsid w:val="007703BA"/>
    <w:rsid w:val="0077111A"/>
    <w:rsid w:val="00771334"/>
    <w:rsid w:val="00772089"/>
    <w:rsid w:val="00772C32"/>
    <w:rsid w:val="00772F0A"/>
    <w:rsid w:val="00773593"/>
    <w:rsid w:val="00773BE9"/>
    <w:rsid w:val="00775028"/>
    <w:rsid w:val="00775450"/>
    <w:rsid w:val="00775D0F"/>
    <w:rsid w:val="00776059"/>
    <w:rsid w:val="00776904"/>
    <w:rsid w:val="00776C1C"/>
    <w:rsid w:val="007779DB"/>
    <w:rsid w:val="00777F05"/>
    <w:rsid w:val="0078013A"/>
    <w:rsid w:val="00780E66"/>
    <w:rsid w:val="0078133A"/>
    <w:rsid w:val="007825A5"/>
    <w:rsid w:val="00783BD0"/>
    <w:rsid w:val="00784016"/>
    <w:rsid w:val="00784372"/>
    <w:rsid w:val="00784AB7"/>
    <w:rsid w:val="00785541"/>
    <w:rsid w:val="00785C40"/>
    <w:rsid w:val="007900E1"/>
    <w:rsid w:val="0079100F"/>
    <w:rsid w:val="00791837"/>
    <w:rsid w:val="00791A48"/>
    <w:rsid w:val="00792345"/>
    <w:rsid w:val="00792366"/>
    <w:rsid w:val="0079248F"/>
    <w:rsid w:val="00795291"/>
    <w:rsid w:val="0079550C"/>
    <w:rsid w:val="00795DB2"/>
    <w:rsid w:val="0079794B"/>
    <w:rsid w:val="00797D38"/>
    <w:rsid w:val="007A0C09"/>
    <w:rsid w:val="007A13C0"/>
    <w:rsid w:val="007A19EC"/>
    <w:rsid w:val="007A21F4"/>
    <w:rsid w:val="007A256C"/>
    <w:rsid w:val="007A339E"/>
    <w:rsid w:val="007A446F"/>
    <w:rsid w:val="007A462A"/>
    <w:rsid w:val="007A4A00"/>
    <w:rsid w:val="007A68C2"/>
    <w:rsid w:val="007B0290"/>
    <w:rsid w:val="007B1218"/>
    <w:rsid w:val="007B1C0E"/>
    <w:rsid w:val="007B283C"/>
    <w:rsid w:val="007B400F"/>
    <w:rsid w:val="007B7059"/>
    <w:rsid w:val="007C007A"/>
    <w:rsid w:val="007C07C2"/>
    <w:rsid w:val="007C1418"/>
    <w:rsid w:val="007C1BFB"/>
    <w:rsid w:val="007C290F"/>
    <w:rsid w:val="007C350F"/>
    <w:rsid w:val="007C3D8A"/>
    <w:rsid w:val="007C58B8"/>
    <w:rsid w:val="007C6BA1"/>
    <w:rsid w:val="007C6D11"/>
    <w:rsid w:val="007C6EC5"/>
    <w:rsid w:val="007C769B"/>
    <w:rsid w:val="007C7E71"/>
    <w:rsid w:val="007D1217"/>
    <w:rsid w:val="007D21D1"/>
    <w:rsid w:val="007D2C93"/>
    <w:rsid w:val="007D3772"/>
    <w:rsid w:val="007D39D5"/>
    <w:rsid w:val="007D6721"/>
    <w:rsid w:val="007D7315"/>
    <w:rsid w:val="007D7EB5"/>
    <w:rsid w:val="007E0434"/>
    <w:rsid w:val="007E0920"/>
    <w:rsid w:val="007E16FF"/>
    <w:rsid w:val="007E1B48"/>
    <w:rsid w:val="007E3220"/>
    <w:rsid w:val="007E5C14"/>
    <w:rsid w:val="007E6FD6"/>
    <w:rsid w:val="007F0AC3"/>
    <w:rsid w:val="007F0C32"/>
    <w:rsid w:val="007F343F"/>
    <w:rsid w:val="007F36C5"/>
    <w:rsid w:val="007F3D8B"/>
    <w:rsid w:val="007F44BA"/>
    <w:rsid w:val="007F5132"/>
    <w:rsid w:val="007F5B5E"/>
    <w:rsid w:val="007F6582"/>
    <w:rsid w:val="007F69BC"/>
    <w:rsid w:val="007F6CDA"/>
    <w:rsid w:val="007F6E47"/>
    <w:rsid w:val="007F7B22"/>
    <w:rsid w:val="00800CCB"/>
    <w:rsid w:val="008010F0"/>
    <w:rsid w:val="00801413"/>
    <w:rsid w:val="00802868"/>
    <w:rsid w:val="0080302D"/>
    <w:rsid w:val="008038CF"/>
    <w:rsid w:val="0080464C"/>
    <w:rsid w:val="008046DD"/>
    <w:rsid w:val="00804F3C"/>
    <w:rsid w:val="0080580F"/>
    <w:rsid w:val="00806657"/>
    <w:rsid w:val="00806E82"/>
    <w:rsid w:val="00807778"/>
    <w:rsid w:val="00807E28"/>
    <w:rsid w:val="00810790"/>
    <w:rsid w:val="00811F1D"/>
    <w:rsid w:val="00812942"/>
    <w:rsid w:val="00813E68"/>
    <w:rsid w:val="00814796"/>
    <w:rsid w:val="00815BFF"/>
    <w:rsid w:val="0081642C"/>
    <w:rsid w:val="0081716D"/>
    <w:rsid w:val="00817CD2"/>
    <w:rsid w:val="00817D20"/>
    <w:rsid w:val="00817FC8"/>
    <w:rsid w:val="008212AE"/>
    <w:rsid w:val="00821B6A"/>
    <w:rsid w:val="00821C94"/>
    <w:rsid w:val="0082314D"/>
    <w:rsid w:val="0082396D"/>
    <w:rsid w:val="00823E66"/>
    <w:rsid w:val="0082404F"/>
    <w:rsid w:val="00824924"/>
    <w:rsid w:val="00824CB6"/>
    <w:rsid w:val="008253B8"/>
    <w:rsid w:val="00831BCF"/>
    <w:rsid w:val="00832079"/>
    <w:rsid w:val="00832160"/>
    <w:rsid w:val="00833124"/>
    <w:rsid w:val="00834150"/>
    <w:rsid w:val="00835623"/>
    <w:rsid w:val="008359D1"/>
    <w:rsid w:val="0083702A"/>
    <w:rsid w:val="0083734F"/>
    <w:rsid w:val="008403B5"/>
    <w:rsid w:val="00841B75"/>
    <w:rsid w:val="00842FFC"/>
    <w:rsid w:val="00843123"/>
    <w:rsid w:val="00843E75"/>
    <w:rsid w:val="00845568"/>
    <w:rsid w:val="0085124A"/>
    <w:rsid w:val="008513AE"/>
    <w:rsid w:val="00852949"/>
    <w:rsid w:val="008537C4"/>
    <w:rsid w:val="00854C37"/>
    <w:rsid w:val="00854DED"/>
    <w:rsid w:val="008557D3"/>
    <w:rsid w:val="00855C20"/>
    <w:rsid w:val="008570DC"/>
    <w:rsid w:val="0085747F"/>
    <w:rsid w:val="00857EE1"/>
    <w:rsid w:val="0086169E"/>
    <w:rsid w:val="00862575"/>
    <w:rsid w:val="00865D8D"/>
    <w:rsid w:val="008679BC"/>
    <w:rsid w:val="0087060C"/>
    <w:rsid w:val="00871C4C"/>
    <w:rsid w:val="00874383"/>
    <w:rsid w:val="008747F2"/>
    <w:rsid w:val="0087610D"/>
    <w:rsid w:val="0087629D"/>
    <w:rsid w:val="008765EE"/>
    <w:rsid w:val="00877209"/>
    <w:rsid w:val="0087756E"/>
    <w:rsid w:val="00877D3C"/>
    <w:rsid w:val="008807D4"/>
    <w:rsid w:val="0088136E"/>
    <w:rsid w:val="00881404"/>
    <w:rsid w:val="00882F9B"/>
    <w:rsid w:val="00883FF1"/>
    <w:rsid w:val="0088509C"/>
    <w:rsid w:val="00885746"/>
    <w:rsid w:val="008857FF"/>
    <w:rsid w:val="00885BF9"/>
    <w:rsid w:val="00887ED4"/>
    <w:rsid w:val="00890772"/>
    <w:rsid w:val="008907CF"/>
    <w:rsid w:val="0089081D"/>
    <w:rsid w:val="00890D42"/>
    <w:rsid w:val="008920E6"/>
    <w:rsid w:val="008926C8"/>
    <w:rsid w:val="00892780"/>
    <w:rsid w:val="00894908"/>
    <w:rsid w:val="00894F1B"/>
    <w:rsid w:val="008953E4"/>
    <w:rsid w:val="00895FB3"/>
    <w:rsid w:val="0089774C"/>
    <w:rsid w:val="008A0439"/>
    <w:rsid w:val="008A214F"/>
    <w:rsid w:val="008A2F43"/>
    <w:rsid w:val="008A4490"/>
    <w:rsid w:val="008A4746"/>
    <w:rsid w:val="008A5501"/>
    <w:rsid w:val="008A5EA2"/>
    <w:rsid w:val="008A75EC"/>
    <w:rsid w:val="008B05B0"/>
    <w:rsid w:val="008B0D8B"/>
    <w:rsid w:val="008B172D"/>
    <w:rsid w:val="008B17F3"/>
    <w:rsid w:val="008B1C14"/>
    <w:rsid w:val="008B29D4"/>
    <w:rsid w:val="008B2BC9"/>
    <w:rsid w:val="008B393E"/>
    <w:rsid w:val="008B3D26"/>
    <w:rsid w:val="008B4010"/>
    <w:rsid w:val="008B45C5"/>
    <w:rsid w:val="008B4B7B"/>
    <w:rsid w:val="008B560D"/>
    <w:rsid w:val="008B5BE9"/>
    <w:rsid w:val="008B62D3"/>
    <w:rsid w:val="008B6908"/>
    <w:rsid w:val="008B6CD4"/>
    <w:rsid w:val="008B72DF"/>
    <w:rsid w:val="008B745D"/>
    <w:rsid w:val="008C00B5"/>
    <w:rsid w:val="008C037C"/>
    <w:rsid w:val="008C0EBF"/>
    <w:rsid w:val="008C1A46"/>
    <w:rsid w:val="008C4ABE"/>
    <w:rsid w:val="008C4FAC"/>
    <w:rsid w:val="008C5EA1"/>
    <w:rsid w:val="008C671D"/>
    <w:rsid w:val="008C6D56"/>
    <w:rsid w:val="008C7609"/>
    <w:rsid w:val="008D0993"/>
    <w:rsid w:val="008D289D"/>
    <w:rsid w:val="008D3523"/>
    <w:rsid w:val="008D3A86"/>
    <w:rsid w:val="008D409A"/>
    <w:rsid w:val="008D4A2B"/>
    <w:rsid w:val="008D56BD"/>
    <w:rsid w:val="008D7F9C"/>
    <w:rsid w:val="008E0CC7"/>
    <w:rsid w:val="008E17B8"/>
    <w:rsid w:val="008E24BA"/>
    <w:rsid w:val="008E3D8F"/>
    <w:rsid w:val="008E65EC"/>
    <w:rsid w:val="008E75F0"/>
    <w:rsid w:val="008E79E6"/>
    <w:rsid w:val="008E7B94"/>
    <w:rsid w:val="008F035B"/>
    <w:rsid w:val="008F0828"/>
    <w:rsid w:val="008F129E"/>
    <w:rsid w:val="008F2012"/>
    <w:rsid w:val="008F20F9"/>
    <w:rsid w:val="008F2F96"/>
    <w:rsid w:val="008F439E"/>
    <w:rsid w:val="008F7651"/>
    <w:rsid w:val="008F7952"/>
    <w:rsid w:val="008F79CE"/>
    <w:rsid w:val="008F7CFF"/>
    <w:rsid w:val="00900DF4"/>
    <w:rsid w:val="00903238"/>
    <w:rsid w:val="00903448"/>
    <w:rsid w:val="00903B02"/>
    <w:rsid w:val="00903CFD"/>
    <w:rsid w:val="0090483A"/>
    <w:rsid w:val="009057B1"/>
    <w:rsid w:val="00905D1B"/>
    <w:rsid w:val="009100A5"/>
    <w:rsid w:val="00910367"/>
    <w:rsid w:val="0091102D"/>
    <w:rsid w:val="009118B9"/>
    <w:rsid w:val="00912323"/>
    <w:rsid w:val="00912AAC"/>
    <w:rsid w:val="00912E24"/>
    <w:rsid w:val="0091591A"/>
    <w:rsid w:val="009207D9"/>
    <w:rsid w:val="00920846"/>
    <w:rsid w:val="00920CB0"/>
    <w:rsid w:val="00921839"/>
    <w:rsid w:val="0092218C"/>
    <w:rsid w:val="00922D66"/>
    <w:rsid w:val="00923261"/>
    <w:rsid w:val="00923749"/>
    <w:rsid w:val="00923D48"/>
    <w:rsid w:val="0092498D"/>
    <w:rsid w:val="00925524"/>
    <w:rsid w:val="00925AEB"/>
    <w:rsid w:val="00925C17"/>
    <w:rsid w:val="00930C12"/>
    <w:rsid w:val="009315DC"/>
    <w:rsid w:val="00931F7B"/>
    <w:rsid w:val="0093589B"/>
    <w:rsid w:val="009379ED"/>
    <w:rsid w:val="00940DCD"/>
    <w:rsid w:val="009411A4"/>
    <w:rsid w:val="0094306B"/>
    <w:rsid w:val="00943C41"/>
    <w:rsid w:val="00945C13"/>
    <w:rsid w:val="00950248"/>
    <w:rsid w:val="00951079"/>
    <w:rsid w:val="00952DCA"/>
    <w:rsid w:val="00954195"/>
    <w:rsid w:val="00954B4B"/>
    <w:rsid w:val="00955821"/>
    <w:rsid w:val="00955BCF"/>
    <w:rsid w:val="00956591"/>
    <w:rsid w:val="00956E6B"/>
    <w:rsid w:val="009572F2"/>
    <w:rsid w:val="0095762A"/>
    <w:rsid w:val="009600DC"/>
    <w:rsid w:val="00960FD1"/>
    <w:rsid w:val="00962DE8"/>
    <w:rsid w:val="009640BD"/>
    <w:rsid w:val="009649B8"/>
    <w:rsid w:val="009674E2"/>
    <w:rsid w:val="00970D40"/>
    <w:rsid w:val="0097107B"/>
    <w:rsid w:val="00971A83"/>
    <w:rsid w:val="0097290F"/>
    <w:rsid w:val="00973F38"/>
    <w:rsid w:val="00974821"/>
    <w:rsid w:val="009754D0"/>
    <w:rsid w:val="009754F7"/>
    <w:rsid w:val="00977A0B"/>
    <w:rsid w:val="009805AA"/>
    <w:rsid w:val="00981B69"/>
    <w:rsid w:val="009821F3"/>
    <w:rsid w:val="00982F18"/>
    <w:rsid w:val="009849E7"/>
    <w:rsid w:val="00984C0B"/>
    <w:rsid w:val="00984F40"/>
    <w:rsid w:val="00986078"/>
    <w:rsid w:val="00986394"/>
    <w:rsid w:val="00986AB7"/>
    <w:rsid w:val="00991DDE"/>
    <w:rsid w:val="009922C4"/>
    <w:rsid w:val="009931D7"/>
    <w:rsid w:val="00994404"/>
    <w:rsid w:val="00995356"/>
    <w:rsid w:val="0099662A"/>
    <w:rsid w:val="009966AD"/>
    <w:rsid w:val="009969C1"/>
    <w:rsid w:val="00996DF3"/>
    <w:rsid w:val="00996EAF"/>
    <w:rsid w:val="00997736"/>
    <w:rsid w:val="00997D30"/>
    <w:rsid w:val="009A074B"/>
    <w:rsid w:val="009A2435"/>
    <w:rsid w:val="009A301C"/>
    <w:rsid w:val="009A476E"/>
    <w:rsid w:val="009A4B21"/>
    <w:rsid w:val="009A66D1"/>
    <w:rsid w:val="009A6E81"/>
    <w:rsid w:val="009B121D"/>
    <w:rsid w:val="009B1F8D"/>
    <w:rsid w:val="009B5646"/>
    <w:rsid w:val="009B5BBD"/>
    <w:rsid w:val="009B66B8"/>
    <w:rsid w:val="009B71D8"/>
    <w:rsid w:val="009B7BBB"/>
    <w:rsid w:val="009C105C"/>
    <w:rsid w:val="009C2320"/>
    <w:rsid w:val="009C2462"/>
    <w:rsid w:val="009C4057"/>
    <w:rsid w:val="009C49FB"/>
    <w:rsid w:val="009C57E3"/>
    <w:rsid w:val="009C5A8C"/>
    <w:rsid w:val="009C68C0"/>
    <w:rsid w:val="009C68ED"/>
    <w:rsid w:val="009C75C7"/>
    <w:rsid w:val="009C7DB1"/>
    <w:rsid w:val="009D00B7"/>
    <w:rsid w:val="009D2FAE"/>
    <w:rsid w:val="009D3D99"/>
    <w:rsid w:val="009D456F"/>
    <w:rsid w:val="009D59EC"/>
    <w:rsid w:val="009D5A69"/>
    <w:rsid w:val="009D5DC2"/>
    <w:rsid w:val="009D640D"/>
    <w:rsid w:val="009D75EB"/>
    <w:rsid w:val="009D7606"/>
    <w:rsid w:val="009D7AD5"/>
    <w:rsid w:val="009D7CA5"/>
    <w:rsid w:val="009E0AAC"/>
    <w:rsid w:val="009E0EDA"/>
    <w:rsid w:val="009E13FD"/>
    <w:rsid w:val="009E1CEC"/>
    <w:rsid w:val="009E1FD7"/>
    <w:rsid w:val="009E213D"/>
    <w:rsid w:val="009E304B"/>
    <w:rsid w:val="009E57AA"/>
    <w:rsid w:val="009E5DB3"/>
    <w:rsid w:val="009E5DD2"/>
    <w:rsid w:val="009E7BC3"/>
    <w:rsid w:val="009E7C84"/>
    <w:rsid w:val="009E7F2E"/>
    <w:rsid w:val="009E7F78"/>
    <w:rsid w:val="009F01BC"/>
    <w:rsid w:val="009F03D4"/>
    <w:rsid w:val="009F0699"/>
    <w:rsid w:val="009F12D1"/>
    <w:rsid w:val="009F184A"/>
    <w:rsid w:val="009F39B4"/>
    <w:rsid w:val="009F4A8B"/>
    <w:rsid w:val="009F4FA3"/>
    <w:rsid w:val="009F5E60"/>
    <w:rsid w:val="009F65F3"/>
    <w:rsid w:val="009F751C"/>
    <w:rsid w:val="009F7DDD"/>
    <w:rsid w:val="009F7E95"/>
    <w:rsid w:val="00A00C94"/>
    <w:rsid w:val="00A0102F"/>
    <w:rsid w:val="00A0159F"/>
    <w:rsid w:val="00A01EF9"/>
    <w:rsid w:val="00A032C1"/>
    <w:rsid w:val="00A03DFC"/>
    <w:rsid w:val="00A065C3"/>
    <w:rsid w:val="00A06708"/>
    <w:rsid w:val="00A072CD"/>
    <w:rsid w:val="00A07538"/>
    <w:rsid w:val="00A12A52"/>
    <w:rsid w:val="00A13201"/>
    <w:rsid w:val="00A133AE"/>
    <w:rsid w:val="00A14BED"/>
    <w:rsid w:val="00A14C62"/>
    <w:rsid w:val="00A1505B"/>
    <w:rsid w:val="00A16059"/>
    <w:rsid w:val="00A16065"/>
    <w:rsid w:val="00A16D34"/>
    <w:rsid w:val="00A175DF"/>
    <w:rsid w:val="00A17980"/>
    <w:rsid w:val="00A21ACB"/>
    <w:rsid w:val="00A229ED"/>
    <w:rsid w:val="00A22A86"/>
    <w:rsid w:val="00A232C7"/>
    <w:rsid w:val="00A23847"/>
    <w:rsid w:val="00A239A4"/>
    <w:rsid w:val="00A24915"/>
    <w:rsid w:val="00A24E23"/>
    <w:rsid w:val="00A25114"/>
    <w:rsid w:val="00A268DC"/>
    <w:rsid w:val="00A32442"/>
    <w:rsid w:val="00A32D54"/>
    <w:rsid w:val="00A337BC"/>
    <w:rsid w:val="00A33AA9"/>
    <w:rsid w:val="00A341D7"/>
    <w:rsid w:val="00A3505B"/>
    <w:rsid w:val="00A352A3"/>
    <w:rsid w:val="00A355B3"/>
    <w:rsid w:val="00A36E32"/>
    <w:rsid w:val="00A375B9"/>
    <w:rsid w:val="00A37AA3"/>
    <w:rsid w:val="00A4025E"/>
    <w:rsid w:val="00A40741"/>
    <w:rsid w:val="00A40F21"/>
    <w:rsid w:val="00A4148D"/>
    <w:rsid w:val="00A41CB3"/>
    <w:rsid w:val="00A420F4"/>
    <w:rsid w:val="00A42456"/>
    <w:rsid w:val="00A43933"/>
    <w:rsid w:val="00A445D7"/>
    <w:rsid w:val="00A45428"/>
    <w:rsid w:val="00A45649"/>
    <w:rsid w:val="00A4625C"/>
    <w:rsid w:val="00A46C7C"/>
    <w:rsid w:val="00A47DFD"/>
    <w:rsid w:val="00A51130"/>
    <w:rsid w:val="00A52E91"/>
    <w:rsid w:val="00A54320"/>
    <w:rsid w:val="00A543DE"/>
    <w:rsid w:val="00A543F0"/>
    <w:rsid w:val="00A55BF2"/>
    <w:rsid w:val="00A5672D"/>
    <w:rsid w:val="00A56A9E"/>
    <w:rsid w:val="00A56B2E"/>
    <w:rsid w:val="00A618BB"/>
    <w:rsid w:val="00A646F1"/>
    <w:rsid w:val="00A647F3"/>
    <w:rsid w:val="00A65055"/>
    <w:rsid w:val="00A658D2"/>
    <w:rsid w:val="00A67B7A"/>
    <w:rsid w:val="00A70102"/>
    <w:rsid w:val="00A7130A"/>
    <w:rsid w:val="00A719D2"/>
    <w:rsid w:val="00A727D3"/>
    <w:rsid w:val="00A72B72"/>
    <w:rsid w:val="00A73294"/>
    <w:rsid w:val="00A733D5"/>
    <w:rsid w:val="00A73FC0"/>
    <w:rsid w:val="00A74497"/>
    <w:rsid w:val="00A7481A"/>
    <w:rsid w:val="00A7488D"/>
    <w:rsid w:val="00A7503A"/>
    <w:rsid w:val="00A7680A"/>
    <w:rsid w:val="00A76DC0"/>
    <w:rsid w:val="00A7789E"/>
    <w:rsid w:val="00A77F62"/>
    <w:rsid w:val="00A80161"/>
    <w:rsid w:val="00A816D5"/>
    <w:rsid w:val="00A81A7F"/>
    <w:rsid w:val="00A82013"/>
    <w:rsid w:val="00A828C4"/>
    <w:rsid w:val="00A83D42"/>
    <w:rsid w:val="00A84757"/>
    <w:rsid w:val="00A856C4"/>
    <w:rsid w:val="00A85C11"/>
    <w:rsid w:val="00A85C66"/>
    <w:rsid w:val="00A86057"/>
    <w:rsid w:val="00A879D6"/>
    <w:rsid w:val="00A92C16"/>
    <w:rsid w:val="00A93F1F"/>
    <w:rsid w:val="00A9413B"/>
    <w:rsid w:val="00A94145"/>
    <w:rsid w:val="00A9486F"/>
    <w:rsid w:val="00A94E88"/>
    <w:rsid w:val="00A95748"/>
    <w:rsid w:val="00A97D3C"/>
    <w:rsid w:val="00AA0006"/>
    <w:rsid w:val="00AA0499"/>
    <w:rsid w:val="00AA46DD"/>
    <w:rsid w:val="00AA58EA"/>
    <w:rsid w:val="00AA5EF7"/>
    <w:rsid w:val="00AA7A02"/>
    <w:rsid w:val="00AA7E6E"/>
    <w:rsid w:val="00AB13A0"/>
    <w:rsid w:val="00AB1585"/>
    <w:rsid w:val="00AB1ED1"/>
    <w:rsid w:val="00AB1F81"/>
    <w:rsid w:val="00AB20EE"/>
    <w:rsid w:val="00AB23BB"/>
    <w:rsid w:val="00AB27B0"/>
    <w:rsid w:val="00AB3267"/>
    <w:rsid w:val="00AB394E"/>
    <w:rsid w:val="00AB3F17"/>
    <w:rsid w:val="00AB4854"/>
    <w:rsid w:val="00AB4E35"/>
    <w:rsid w:val="00AB5AC2"/>
    <w:rsid w:val="00AB5E95"/>
    <w:rsid w:val="00AB695B"/>
    <w:rsid w:val="00AB739A"/>
    <w:rsid w:val="00AB7CAE"/>
    <w:rsid w:val="00AC087E"/>
    <w:rsid w:val="00AC08BD"/>
    <w:rsid w:val="00AC0935"/>
    <w:rsid w:val="00AC15C2"/>
    <w:rsid w:val="00AC20A1"/>
    <w:rsid w:val="00AC312E"/>
    <w:rsid w:val="00AC4C86"/>
    <w:rsid w:val="00AC6C8E"/>
    <w:rsid w:val="00AC6D0B"/>
    <w:rsid w:val="00AC6F21"/>
    <w:rsid w:val="00AC7121"/>
    <w:rsid w:val="00AD0A2F"/>
    <w:rsid w:val="00AD112B"/>
    <w:rsid w:val="00AD24DB"/>
    <w:rsid w:val="00AD2F24"/>
    <w:rsid w:val="00AD4D43"/>
    <w:rsid w:val="00AD5B08"/>
    <w:rsid w:val="00AD65F0"/>
    <w:rsid w:val="00AD6B14"/>
    <w:rsid w:val="00AD6C2F"/>
    <w:rsid w:val="00AD7086"/>
    <w:rsid w:val="00AD7952"/>
    <w:rsid w:val="00AE01D9"/>
    <w:rsid w:val="00AE08A9"/>
    <w:rsid w:val="00AE1280"/>
    <w:rsid w:val="00AE1C24"/>
    <w:rsid w:val="00AE1D21"/>
    <w:rsid w:val="00AE2401"/>
    <w:rsid w:val="00AE2ADB"/>
    <w:rsid w:val="00AE4F9E"/>
    <w:rsid w:val="00AE5AB6"/>
    <w:rsid w:val="00AE5D64"/>
    <w:rsid w:val="00AE7243"/>
    <w:rsid w:val="00AF0131"/>
    <w:rsid w:val="00AF0754"/>
    <w:rsid w:val="00AF2DE3"/>
    <w:rsid w:val="00AF554B"/>
    <w:rsid w:val="00AF5903"/>
    <w:rsid w:val="00AF6221"/>
    <w:rsid w:val="00AF667B"/>
    <w:rsid w:val="00AF7AE6"/>
    <w:rsid w:val="00B00E0C"/>
    <w:rsid w:val="00B04242"/>
    <w:rsid w:val="00B04D3B"/>
    <w:rsid w:val="00B04EE9"/>
    <w:rsid w:val="00B05AF7"/>
    <w:rsid w:val="00B06583"/>
    <w:rsid w:val="00B0767E"/>
    <w:rsid w:val="00B10754"/>
    <w:rsid w:val="00B138F1"/>
    <w:rsid w:val="00B13E47"/>
    <w:rsid w:val="00B16F2C"/>
    <w:rsid w:val="00B1775E"/>
    <w:rsid w:val="00B177D1"/>
    <w:rsid w:val="00B2210B"/>
    <w:rsid w:val="00B222BA"/>
    <w:rsid w:val="00B22C38"/>
    <w:rsid w:val="00B25277"/>
    <w:rsid w:val="00B265A9"/>
    <w:rsid w:val="00B26B6D"/>
    <w:rsid w:val="00B30A91"/>
    <w:rsid w:val="00B30D05"/>
    <w:rsid w:val="00B31366"/>
    <w:rsid w:val="00B33307"/>
    <w:rsid w:val="00B33875"/>
    <w:rsid w:val="00B33B24"/>
    <w:rsid w:val="00B363C9"/>
    <w:rsid w:val="00B40207"/>
    <w:rsid w:val="00B40E9A"/>
    <w:rsid w:val="00B41C09"/>
    <w:rsid w:val="00B43700"/>
    <w:rsid w:val="00B46900"/>
    <w:rsid w:val="00B469EC"/>
    <w:rsid w:val="00B50147"/>
    <w:rsid w:val="00B50696"/>
    <w:rsid w:val="00B50EB1"/>
    <w:rsid w:val="00B51CC5"/>
    <w:rsid w:val="00B54434"/>
    <w:rsid w:val="00B549A9"/>
    <w:rsid w:val="00B5605B"/>
    <w:rsid w:val="00B566E5"/>
    <w:rsid w:val="00B56E6C"/>
    <w:rsid w:val="00B56EF4"/>
    <w:rsid w:val="00B57159"/>
    <w:rsid w:val="00B57947"/>
    <w:rsid w:val="00B60048"/>
    <w:rsid w:val="00B618C9"/>
    <w:rsid w:val="00B6213F"/>
    <w:rsid w:val="00B6298D"/>
    <w:rsid w:val="00B6312A"/>
    <w:rsid w:val="00B64BC4"/>
    <w:rsid w:val="00B675E1"/>
    <w:rsid w:val="00B702CA"/>
    <w:rsid w:val="00B70A9A"/>
    <w:rsid w:val="00B70F3F"/>
    <w:rsid w:val="00B72AC9"/>
    <w:rsid w:val="00B74E95"/>
    <w:rsid w:val="00B7636C"/>
    <w:rsid w:val="00B76914"/>
    <w:rsid w:val="00B775AE"/>
    <w:rsid w:val="00B77774"/>
    <w:rsid w:val="00B81EF2"/>
    <w:rsid w:val="00B81F1C"/>
    <w:rsid w:val="00B820C7"/>
    <w:rsid w:val="00B8305A"/>
    <w:rsid w:val="00B8374A"/>
    <w:rsid w:val="00B83FEF"/>
    <w:rsid w:val="00B84731"/>
    <w:rsid w:val="00B84851"/>
    <w:rsid w:val="00B8492D"/>
    <w:rsid w:val="00B85345"/>
    <w:rsid w:val="00B85946"/>
    <w:rsid w:val="00B8635D"/>
    <w:rsid w:val="00B875DC"/>
    <w:rsid w:val="00B9009C"/>
    <w:rsid w:val="00B915A3"/>
    <w:rsid w:val="00B94006"/>
    <w:rsid w:val="00B9520C"/>
    <w:rsid w:val="00B95E07"/>
    <w:rsid w:val="00B9678E"/>
    <w:rsid w:val="00B975DF"/>
    <w:rsid w:val="00B97772"/>
    <w:rsid w:val="00B97FDE"/>
    <w:rsid w:val="00BA0418"/>
    <w:rsid w:val="00BA0E2E"/>
    <w:rsid w:val="00BA1E13"/>
    <w:rsid w:val="00BA1F46"/>
    <w:rsid w:val="00BA3018"/>
    <w:rsid w:val="00BA35BD"/>
    <w:rsid w:val="00BA5704"/>
    <w:rsid w:val="00BA5F5E"/>
    <w:rsid w:val="00BA6E19"/>
    <w:rsid w:val="00BB0065"/>
    <w:rsid w:val="00BB065E"/>
    <w:rsid w:val="00BB0B4E"/>
    <w:rsid w:val="00BB1B8B"/>
    <w:rsid w:val="00BB4303"/>
    <w:rsid w:val="00BB4B72"/>
    <w:rsid w:val="00BB4EDD"/>
    <w:rsid w:val="00BB65EC"/>
    <w:rsid w:val="00BB662D"/>
    <w:rsid w:val="00BB76CE"/>
    <w:rsid w:val="00BC0864"/>
    <w:rsid w:val="00BC425A"/>
    <w:rsid w:val="00BC5599"/>
    <w:rsid w:val="00BC6993"/>
    <w:rsid w:val="00BC77CF"/>
    <w:rsid w:val="00BC79AE"/>
    <w:rsid w:val="00BC7A44"/>
    <w:rsid w:val="00BD08F2"/>
    <w:rsid w:val="00BD1032"/>
    <w:rsid w:val="00BD1753"/>
    <w:rsid w:val="00BD31A2"/>
    <w:rsid w:val="00BD5D1C"/>
    <w:rsid w:val="00BD64F5"/>
    <w:rsid w:val="00BD6891"/>
    <w:rsid w:val="00BD68D4"/>
    <w:rsid w:val="00BE1332"/>
    <w:rsid w:val="00BE1634"/>
    <w:rsid w:val="00BE1F8A"/>
    <w:rsid w:val="00BE331F"/>
    <w:rsid w:val="00BE3D58"/>
    <w:rsid w:val="00BE4B0A"/>
    <w:rsid w:val="00BE547C"/>
    <w:rsid w:val="00BF080E"/>
    <w:rsid w:val="00BF08C8"/>
    <w:rsid w:val="00BF0C8B"/>
    <w:rsid w:val="00BF1599"/>
    <w:rsid w:val="00BF1F61"/>
    <w:rsid w:val="00BF3510"/>
    <w:rsid w:val="00BF412B"/>
    <w:rsid w:val="00BF4ED2"/>
    <w:rsid w:val="00BF6695"/>
    <w:rsid w:val="00BF6E05"/>
    <w:rsid w:val="00BF7C55"/>
    <w:rsid w:val="00C00679"/>
    <w:rsid w:val="00C01ED6"/>
    <w:rsid w:val="00C029E9"/>
    <w:rsid w:val="00C03EF4"/>
    <w:rsid w:val="00C04632"/>
    <w:rsid w:val="00C058BC"/>
    <w:rsid w:val="00C06557"/>
    <w:rsid w:val="00C06634"/>
    <w:rsid w:val="00C06695"/>
    <w:rsid w:val="00C112DA"/>
    <w:rsid w:val="00C11B00"/>
    <w:rsid w:val="00C13026"/>
    <w:rsid w:val="00C164AB"/>
    <w:rsid w:val="00C1666B"/>
    <w:rsid w:val="00C1677A"/>
    <w:rsid w:val="00C168C8"/>
    <w:rsid w:val="00C202E3"/>
    <w:rsid w:val="00C20A5C"/>
    <w:rsid w:val="00C215AF"/>
    <w:rsid w:val="00C2169F"/>
    <w:rsid w:val="00C22F6D"/>
    <w:rsid w:val="00C232A6"/>
    <w:rsid w:val="00C235D8"/>
    <w:rsid w:val="00C23832"/>
    <w:rsid w:val="00C23CF1"/>
    <w:rsid w:val="00C26FCC"/>
    <w:rsid w:val="00C3031E"/>
    <w:rsid w:val="00C3053C"/>
    <w:rsid w:val="00C30E2F"/>
    <w:rsid w:val="00C31189"/>
    <w:rsid w:val="00C313A6"/>
    <w:rsid w:val="00C329B6"/>
    <w:rsid w:val="00C334FB"/>
    <w:rsid w:val="00C339B0"/>
    <w:rsid w:val="00C35D87"/>
    <w:rsid w:val="00C35DC9"/>
    <w:rsid w:val="00C36677"/>
    <w:rsid w:val="00C371DA"/>
    <w:rsid w:val="00C40105"/>
    <w:rsid w:val="00C40DBA"/>
    <w:rsid w:val="00C40E2F"/>
    <w:rsid w:val="00C415F5"/>
    <w:rsid w:val="00C41946"/>
    <w:rsid w:val="00C422BB"/>
    <w:rsid w:val="00C4269B"/>
    <w:rsid w:val="00C42712"/>
    <w:rsid w:val="00C43132"/>
    <w:rsid w:val="00C46ABE"/>
    <w:rsid w:val="00C4730A"/>
    <w:rsid w:val="00C47DF6"/>
    <w:rsid w:val="00C5034C"/>
    <w:rsid w:val="00C50E1C"/>
    <w:rsid w:val="00C5298B"/>
    <w:rsid w:val="00C53D6E"/>
    <w:rsid w:val="00C5551F"/>
    <w:rsid w:val="00C556B5"/>
    <w:rsid w:val="00C5602F"/>
    <w:rsid w:val="00C56B2E"/>
    <w:rsid w:val="00C56B83"/>
    <w:rsid w:val="00C57DC3"/>
    <w:rsid w:val="00C625BD"/>
    <w:rsid w:val="00C63534"/>
    <w:rsid w:val="00C64077"/>
    <w:rsid w:val="00C6447A"/>
    <w:rsid w:val="00C65AF0"/>
    <w:rsid w:val="00C65C1A"/>
    <w:rsid w:val="00C65FF6"/>
    <w:rsid w:val="00C66533"/>
    <w:rsid w:val="00C7009E"/>
    <w:rsid w:val="00C700C3"/>
    <w:rsid w:val="00C70675"/>
    <w:rsid w:val="00C72DC2"/>
    <w:rsid w:val="00C72F5F"/>
    <w:rsid w:val="00C73EC6"/>
    <w:rsid w:val="00C76C6E"/>
    <w:rsid w:val="00C77391"/>
    <w:rsid w:val="00C811F3"/>
    <w:rsid w:val="00C816E0"/>
    <w:rsid w:val="00C819D8"/>
    <w:rsid w:val="00C8525C"/>
    <w:rsid w:val="00C8654D"/>
    <w:rsid w:val="00C86786"/>
    <w:rsid w:val="00C86DCA"/>
    <w:rsid w:val="00C86EB7"/>
    <w:rsid w:val="00C90115"/>
    <w:rsid w:val="00C90796"/>
    <w:rsid w:val="00C91020"/>
    <w:rsid w:val="00C91149"/>
    <w:rsid w:val="00C917C5"/>
    <w:rsid w:val="00C92916"/>
    <w:rsid w:val="00C92F22"/>
    <w:rsid w:val="00C930DF"/>
    <w:rsid w:val="00C94F51"/>
    <w:rsid w:val="00C94FF3"/>
    <w:rsid w:val="00C968E0"/>
    <w:rsid w:val="00C97DB4"/>
    <w:rsid w:val="00CA142D"/>
    <w:rsid w:val="00CA1F97"/>
    <w:rsid w:val="00CA2C35"/>
    <w:rsid w:val="00CA4833"/>
    <w:rsid w:val="00CA572C"/>
    <w:rsid w:val="00CA5E4F"/>
    <w:rsid w:val="00CA7BFC"/>
    <w:rsid w:val="00CA7FA6"/>
    <w:rsid w:val="00CB1222"/>
    <w:rsid w:val="00CB19BB"/>
    <w:rsid w:val="00CB19CF"/>
    <w:rsid w:val="00CB1B76"/>
    <w:rsid w:val="00CB2132"/>
    <w:rsid w:val="00CB2BDE"/>
    <w:rsid w:val="00CB2D5B"/>
    <w:rsid w:val="00CB2E7D"/>
    <w:rsid w:val="00CB3DBF"/>
    <w:rsid w:val="00CB4A6F"/>
    <w:rsid w:val="00CB721F"/>
    <w:rsid w:val="00CB7CB0"/>
    <w:rsid w:val="00CC0793"/>
    <w:rsid w:val="00CC0B16"/>
    <w:rsid w:val="00CC1239"/>
    <w:rsid w:val="00CC196C"/>
    <w:rsid w:val="00CC1BB3"/>
    <w:rsid w:val="00CC1EB2"/>
    <w:rsid w:val="00CC2A1D"/>
    <w:rsid w:val="00CC536C"/>
    <w:rsid w:val="00CC5820"/>
    <w:rsid w:val="00CC668C"/>
    <w:rsid w:val="00CC689D"/>
    <w:rsid w:val="00CC6C26"/>
    <w:rsid w:val="00CC7D6D"/>
    <w:rsid w:val="00CD129A"/>
    <w:rsid w:val="00CD1387"/>
    <w:rsid w:val="00CD2E4B"/>
    <w:rsid w:val="00CD54F4"/>
    <w:rsid w:val="00CD5769"/>
    <w:rsid w:val="00CD65E3"/>
    <w:rsid w:val="00CD67E3"/>
    <w:rsid w:val="00CD7380"/>
    <w:rsid w:val="00CD77F9"/>
    <w:rsid w:val="00CD7818"/>
    <w:rsid w:val="00CD7C61"/>
    <w:rsid w:val="00CE2977"/>
    <w:rsid w:val="00CE3EE7"/>
    <w:rsid w:val="00CE59E6"/>
    <w:rsid w:val="00CE79BD"/>
    <w:rsid w:val="00CF03A5"/>
    <w:rsid w:val="00CF05E2"/>
    <w:rsid w:val="00CF0777"/>
    <w:rsid w:val="00CF10A2"/>
    <w:rsid w:val="00CF1370"/>
    <w:rsid w:val="00CF1657"/>
    <w:rsid w:val="00CF2938"/>
    <w:rsid w:val="00CF2AD5"/>
    <w:rsid w:val="00CF35C8"/>
    <w:rsid w:val="00CF4305"/>
    <w:rsid w:val="00CF55EF"/>
    <w:rsid w:val="00CF6644"/>
    <w:rsid w:val="00CF695D"/>
    <w:rsid w:val="00CF7B8A"/>
    <w:rsid w:val="00D0063B"/>
    <w:rsid w:val="00D02092"/>
    <w:rsid w:val="00D03742"/>
    <w:rsid w:val="00D04513"/>
    <w:rsid w:val="00D054AB"/>
    <w:rsid w:val="00D05AFC"/>
    <w:rsid w:val="00D05F53"/>
    <w:rsid w:val="00D07605"/>
    <w:rsid w:val="00D11166"/>
    <w:rsid w:val="00D12418"/>
    <w:rsid w:val="00D125CC"/>
    <w:rsid w:val="00D12D55"/>
    <w:rsid w:val="00D13C44"/>
    <w:rsid w:val="00D14605"/>
    <w:rsid w:val="00D14740"/>
    <w:rsid w:val="00D147E7"/>
    <w:rsid w:val="00D14D0D"/>
    <w:rsid w:val="00D14D44"/>
    <w:rsid w:val="00D15C2C"/>
    <w:rsid w:val="00D2057A"/>
    <w:rsid w:val="00D21209"/>
    <w:rsid w:val="00D2159C"/>
    <w:rsid w:val="00D216E1"/>
    <w:rsid w:val="00D23667"/>
    <w:rsid w:val="00D24174"/>
    <w:rsid w:val="00D255C8"/>
    <w:rsid w:val="00D261BB"/>
    <w:rsid w:val="00D26BAA"/>
    <w:rsid w:val="00D273A0"/>
    <w:rsid w:val="00D27564"/>
    <w:rsid w:val="00D30307"/>
    <w:rsid w:val="00D30C0B"/>
    <w:rsid w:val="00D31717"/>
    <w:rsid w:val="00D325FA"/>
    <w:rsid w:val="00D3289F"/>
    <w:rsid w:val="00D347C6"/>
    <w:rsid w:val="00D34DF6"/>
    <w:rsid w:val="00D35061"/>
    <w:rsid w:val="00D36F8F"/>
    <w:rsid w:val="00D37262"/>
    <w:rsid w:val="00D37FD9"/>
    <w:rsid w:val="00D40C37"/>
    <w:rsid w:val="00D416F6"/>
    <w:rsid w:val="00D43078"/>
    <w:rsid w:val="00D43A35"/>
    <w:rsid w:val="00D43A3A"/>
    <w:rsid w:val="00D4659E"/>
    <w:rsid w:val="00D46B07"/>
    <w:rsid w:val="00D46BA3"/>
    <w:rsid w:val="00D474B1"/>
    <w:rsid w:val="00D47D53"/>
    <w:rsid w:val="00D508DE"/>
    <w:rsid w:val="00D5093D"/>
    <w:rsid w:val="00D53375"/>
    <w:rsid w:val="00D549D2"/>
    <w:rsid w:val="00D54A42"/>
    <w:rsid w:val="00D54AA6"/>
    <w:rsid w:val="00D54BC9"/>
    <w:rsid w:val="00D55EA3"/>
    <w:rsid w:val="00D56735"/>
    <w:rsid w:val="00D5712E"/>
    <w:rsid w:val="00D574B5"/>
    <w:rsid w:val="00D603F8"/>
    <w:rsid w:val="00D60D48"/>
    <w:rsid w:val="00D60EA3"/>
    <w:rsid w:val="00D616D9"/>
    <w:rsid w:val="00D61AC4"/>
    <w:rsid w:val="00D6213C"/>
    <w:rsid w:val="00D6360F"/>
    <w:rsid w:val="00D64EA5"/>
    <w:rsid w:val="00D65287"/>
    <w:rsid w:val="00D65A6F"/>
    <w:rsid w:val="00D6609A"/>
    <w:rsid w:val="00D665EE"/>
    <w:rsid w:val="00D66ED8"/>
    <w:rsid w:val="00D678C8"/>
    <w:rsid w:val="00D67EEC"/>
    <w:rsid w:val="00D701C8"/>
    <w:rsid w:val="00D70DBA"/>
    <w:rsid w:val="00D71F05"/>
    <w:rsid w:val="00D72F11"/>
    <w:rsid w:val="00D7386F"/>
    <w:rsid w:val="00D73C13"/>
    <w:rsid w:val="00D74A88"/>
    <w:rsid w:val="00D808AE"/>
    <w:rsid w:val="00D81DA2"/>
    <w:rsid w:val="00D82943"/>
    <w:rsid w:val="00D82E53"/>
    <w:rsid w:val="00D841F7"/>
    <w:rsid w:val="00D8480C"/>
    <w:rsid w:val="00D84BED"/>
    <w:rsid w:val="00D862D5"/>
    <w:rsid w:val="00D87574"/>
    <w:rsid w:val="00D879B5"/>
    <w:rsid w:val="00D90633"/>
    <w:rsid w:val="00D9081E"/>
    <w:rsid w:val="00D90A35"/>
    <w:rsid w:val="00D90AAA"/>
    <w:rsid w:val="00D90C4D"/>
    <w:rsid w:val="00D92003"/>
    <w:rsid w:val="00D92206"/>
    <w:rsid w:val="00D93518"/>
    <w:rsid w:val="00D949F5"/>
    <w:rsid w:val="00D9592A"/>
    <w:rsid w:val="00D962D0"/>
    <w:rsid w:val="00D963EE"/>
    <w:rsid w:val="00D973E3"/>
    <w:rsid w:val="00D97723"/>
    <w:rsid w:val="00DA01BA"/>
    <w:rsid w:val="00DA16C6"/>
    <w:rsid w:val="00DA2569"/>
    <w:rsid w:val="00DA397B"/>
    <w:rsid w:val="00DA474C"/>
    <w:rsid w:val="00DA6667"/>
    <w:rsid w:val="00DA7CD3"/>
    <w:rsid w:val="00DB0001"/>
    <w:rsid w:val="00DB367C"/>
    <w:rsid w:val="00DB4509"/>
    <w:rsid w:val="00DB484E"/>
    <w:rsid w:val="00DB4F2F"/>
    <w:rsid w:val="00DB683A"/>
    <w:rsid w:val="00DB713A"/>
    <w:rsid w:val="00DB7C6C"/>
    <w:rsid w:val="00DC18DD"/>
    <w:rsid w:val="00DC2008"/>
    <w:rsid w:val="00DC25E6"/>
    <w:rsid w:val="00DC2E5F"/>
    <w:rsid w:val="00DC4736"/>
    <w:rsid w:val="00DC55C0"/>
    <w:rsid w:val="00DC6C91"/>
    <w:rsid w:val="00DC7B47"/>
    <w:rsid w:val="00DC7FF8"/>
    <w:rsid w:val="00DD2293"/>
    <w:rsid w:val="00DD2F11"/>
    <w:rsid w:val="00DD52D5"/>
    <w:rsid w:val="00DD5CAD"/>
    <w:rsid w:val="00DD7314"/>
    <w:rsid w:val="00DD75B9"/>
    <w:rsid w:val="00DD7A62"/>
    <w:rsid w:val="00DE02F3"/>
    <w:rsid w:val="00DE286B"/>
    <w:rsid w:val="00DE6121"/>
    <w:rsid w:val="00DE665F"/>
    <w:rsid w:val="00DE6CCA"/>
    <w:rsid w:val="00DE6FB8"/>
    <w:rsid w:val="00DE7F24"/>
    <w:rsid w:val="00DF1254"/>
    <w:rsid w:val="00DF1363"/>
    <w:rsid w:val="00DF1B10"/>
    <w:rsid w:val="00DF1C61"/>
    <w:rsid w:val="00DF43D2"/>
    <w:rsid w:val="00DF523A"/>
    <w:rsid w:val="00DF57F0"/>
    <w:rsid w:val="00DF60AF"/>
    <w:rsid w:val="00DF7A3D"/>
    <w:rsid w:val="00DF7E25"/>
    <w:rsid w:val="00E05197"/>
    <w:rsid w:val="00E05A26"/>
    <w:rsid w:val="00E0682D"/>
    <w:rsid w:val="00E07121"/>
    <w:rsid w:val="00E11091"/>
    <w:rsid w:val="00E122F5"/>
    <w:rsid w:val="00E13B93"/>
    <w:rsid w:val="00E15176"/>
    <w:rsid w:val="00E15C80"/>
    <w:rsid w:val="00E15DF1"/>
    <w:rsid w:val="00E16A87"/>
    <w:rsid w:val="00E16F64"/>
    <w:rsid w:val="00E17870"/>
    <w:rsid w:val="00E20742"/>
    <w:rsid w:val="00E20B93"/>
    <w:rsid w:val="00E20ED5"/>
    <w:rsid w:val="00E21B9A"/>
    <w:rsid w:val="00E22C28"/>
    <w:rsid w:val="00E24107"/>
    <w:rsid w:val="00E2460A"/>
    <w:rsid w:val="00E24702"/>
    <w:rsid w:val="00E2470A"/>
    <w:rsid w:val="00E25BAA"/>
    <w:rsid w:val="00E25E0F"/>
    <w:rsid w:val="00E26CB5"/>
    <w:rsid w:val="00E2761E"/>
    <w:rsid w:val="00E27E92"/>
    <w:rsid w:val="00E27F01"/>
    <w:rsid w:val="00E307C0"/>
    <w:rsid w:val="00E30B76"/>
    <w:rsid w:val="00E3153A"/>
    <w:rsid w:val="00E3229A"/>
    <w:rsid w:val="00E34428"/>
    <w:rsid w:val="00E371E5"/>
    <w:rsid w:val="00E373FF"/>
    <w:rsid w:val="00E379A8"/>
    <w:rsid w:val="00E37A5A"/>
    <w:rsid w:val="00E40C4E"/>
    <w:rsid w:val="00E41200"/>
    <w:rsid w:val="00E42616"/>
    <w:rsid w:val="00E42768"/>
    <w:rsid w:val="00E427EA"/>
    <w:rsid w:val="00E4281B"/>
    <w:rsid w:val="00E42A3B"/>
    <w:rsid w:val="00E4414A"/>
    <w:rsid w:val="00E44DFE"/>
    <w:rsid w:val="00E44FC8"/>
    <w:rsid w:val="00E45238"/>
    <w:rsid w:val="00E45944"/>
    <w:rsid w:val="00E46C5D"/>
    <w:rsid w:val="00E47604"/>
    <w:rsid w:val="00E50779"/>
    <w:rsid w:val="00E509DE"/>
    <w:rsid w:val="00E52389"/>
    <w:rsid w:val="00E524B7"/>
    <w:rsid w:val="00E527C2"/>
    <w:rsid w:val="00E534ED"/>
    <w:rsid w:val="00E54B04"/>
    <w:rsid w:val="00E55AC5"/>
    <w:rsid w:val="00E567A1"/>
    <w:rsid w:val="00E56B1F"/>
    <w:rsid w:val="00E57B39"/>
    <w:rsid w:val="00E60009"/>
    <w:rsid w:val="00E600C2"/>
    <w:rsid w:val="00E602DB"/>
    <w:rsid w:val="00E60A28"/>
    <w:rsid w:val="00E61A38"/>
    <w:rsid w:val="00E61C83"/>
    <w:rsid w:val="00E628FA"/>
    <w:rsid w:val="00E62FCF"/>
    <w:rsid w:val="00E632E4"/>
    <w:rsid w:val="00E63DAC"/>
    <w:rsid w:val="00E63F1A"/>
    <w:rsid w:val="00E65A20"/>
    <w:rsid w:val="00E660A9"/>
    <w:rsid w:val="00E700CC"/>
    <w:rsid w:val="00E7397E"/>
    <w:rsid w:val="00E7398D"/>
    <w:rsid w:val="00E73A14"/>
    <w:rsid w:val="00E744E8"/>
    <w:rsid w:val="00E74CF3"/>
    <w:rsid w:val="00E74DC6"/>
    <w:rsid w:val="00E761D1"/>
    <w:rsid w:val="00E779CD"/>
    <w:rsid w:val="00E80456"/>
    <w:rsid w:val="00E8083A"/>
    <w:rsid w:val="00E812DC"/>
    <w:rsid w:val="00E83A53"/>
    <w:rsid w:val="00E8401F"/>
    <w:rsid w:val="00E84412"/>
    <w:rsid w:val="00E86177"/>
    <w:rsid w:val="00E86F6B"/>
    <w:rsid w:val="00E87E45"/>
    <w:rsid w:val="00E90F2A"/>
    <w:rsid w:val="00E94010"/>
    <w:rsid w:val="00E94D01"/>
    <w:rsid w:val="00E95920"/>
    <w:rsid w:val="00E963A0"/>
    <w:rsid w:val="00E9659D"/>
    <w:rsid w:val="00E9757C"/>
    <w:rsid w:val="00EA0275"/>
    <w:rsid w:val="00EA0C4D"/>
    <w:rsid w:val="00EA229D"/>
    <w:rsid w:val="00EA30DD"/>
    <w:rsid w:val="00EA521C"/>
    <w:rsid w:val="00EA5377"/>
    <w:rsid w:val="00EA6B6C"/>
    <w:rsid w:val="00EA7A67"/>
    <w:rsid w:val="00EB0613"/>
    <w:rsid w:val="00EB1224"/>
    <w:rsid w:val="00EB173C"/>
    <w:rsid w:val="00EB2775"/>
    <w:rsid w:val="00EB36F0"/>
    <w:rsid w:val="00EB40A3"/>
    <w:rsid w:val="00EB40E1"/>
    <w:rsid w:val="00EB5669"/>
    <w:rsid w:val="00EB5F56"/>
    <w:rsid w:val="00EB6BCA"/>
    <w:rsid w:val="00EB76E6"/>
    <w:rsid w:val="00EC11BB"/>
    <w:rsid w:val="00EC1316"/>
    <w:rsid w:val="00EC1D2D"/>
    <w:rsid w:val="00EC25D5"/>
    <w:rsid w:val="00EC2885"/>
    <w:rsid w:val="00EC462A"/>
    <w:rsid w:val="00EC46D5"/>
    <w:rsid w:val="00EC47DC"/>
    <w:rsid w:val="00EC5873"/>
    <w:rsid w:val="00EC5AEF"/>
    <w:rsid w:val="00EC6FF4"/>
    <w:rsid w:val="00EC725F"/>
    <w:rsid w:val="00EC7E58"/>
    <w:rsid w:val="00ED05CB"/>
    <w:rsid w:val="00ED1482"/>
    <w:rsid w:val="00ED1950"/>
    <w:rsid w:val="00ED4515"/>
    <w:rsid w:val="00ED459B"/>
    <w:rsid w:val="00ED48F1"/>
    <w:rsid w:val="00ED5E97"/>
    <w:rsid w:val="00ED6CE2"/>
    <w:rsid w:val="00ED7026"/>
    <w:rsid w:val="00ED7820"/>
    <w:rsid w:val="00EE0106"/>
    <w:rsid w:val="00EE020A"/>
    <w:rsid w:val="00EE19C4"/>
    <w:rsid w:val="00EE1C86"/>
    <w:rsid w:val="00EE2569"/>
    <w:rsid w:val="00EE53A6"/>
    <w:rsid w:val="00EE59ED"/>
    <w:rsid w:val="00EE6343"/>
    <w:rsid w:val="00EE7BA2"/>
    <w:rsid w:val="00EF0539"/>
    <w:rsid w:val="00EF1E41"/>
    <w:rsid w:val="00EF1EB5"/>
    <w:rsid w:val="00EF23FA"/>
    <w:rsid w:val="00EF2592"/>
    <w:rsid w:val="00EF26B8"/>
    <w:rsid w:val="00EF2825"/>
    <w:rsid w:val="00EF33CA"/>
    <w:rsid w:val="00EF6AD6"/>
    <w:rsid w:val="00EF6AF7"/>
    <w:rsid w:val="00EF6B1F"/>
    <w:rsid w:val="00EF79CA"/>
    <w:rsid w:val="00F002D3"/>
    <w:rsid w:val="00F01550"/>
    <w:rsid w:val="00F02EE8"/>
    <w:rsid w:val="00F04545"/>
    <w:rsid w:val="00F05081"/>
    <w:rsid w:val="00F05C6B"/>
    <w:rsid w:val="00F06AAA"/>
    <w:rsid w:val="00F078F7"/>
    <w:rsid w:val="00F127AC"/>
    <w:rsid w:val="00F12F23"/>
    <w:rsid w:val="00F145CB"/>
    <w:rsid w:val="00F1481B"/>
    <w:rsid w:val="00F14A41"/>
    <w:rsid w:val="00F17DAD"/>
    <w:rsid w:val="00F208B2"/>
    <w:rsid w:val="00F22975"/>
    <w:rsid w:val="00F27D71"/>
    <w:rsid w:val="00F27EBA"/>
    <w:rsid w:val="00F31160"/>
    <w:rsid w:val="00F31815"/>
    <w:rsid w:val="00F322A5"/>
    <w:rsid w:val="00F329F9"/>
    <w:rsid w:val="00F3471B"/>
    <w:rsid w:val="00F35611"/>
    <w:rsid w:val="00F36CEA"/>
    <w:rsid w:val="00F36FAB"/>
    <w:rsid w:val="00F3729D"/>
    <w:rsid w:val="00F4115F"/>
    <w:rsid w:val="00F42485"/>
    <w:rsid w:val="00F431A0"/>
    <w:rsid w:val="00F44816"/>
    <w:rsid w:val="00F50488"/>
    <w:rsid w:val="00F527D9"/>
    <w:rsid w:val="00F538D0"/>
    <w:rsid w:val="00F53CF3"/>
    <w:rsid w:val="00F5408E"/>
    <w:rsid w:val="00F57629"/>
    <w:rsid w:val="00F57B14"/>
    <w:rsid w:val="00F57BAA"/>
    <w:rsid w:val="00F615B3"/>
    <w:rsid w:val="00F61B59"/>
    <w:rsid w:val="00F61C53"/>
    <w:rsid w:val="00F629F0"/>
    <w:rsid w:val="00F647C2"/>
    <w:rsid w:val="00F6638B"/>
    <w:rsid w:val="00F666A6"/>
    <w:rsid w:val="00F67269"/>
    <w:rsid w:val="00F6737E"/>
    <w:rsid w:val="00F67652"/>
    <w:rsid w:val="00F706E1"/>
    <w:rsid w:val="00F709A5"/>
    <w:rsid w:val="00F70B5D"/>
    <w:rsid w:val="00F71807"/>
    <w:rsid w:val="00F72668"/>
    <w:rsid w:val="00F730A5"/>
    <w:rsid w:val="00F7324C"/>
    <w:rsid w:val="00F73DA2"/>
    <w:rsid w:val="00F74A98"/>
    <w:rsid w:val="00F75A07"/>
    <w:rsid w:val="00F7749F"/>
    <w:rsid w:val="00F77B4F"/>
    <w:rsid w:val="00F77C2D"/>
    <w:rsid w:val="00F81CDE"/>
    <w:rsid w:val="00F82A2D"/>
    <w:rsid w:val="00F83B89"/>
    <w:rsid w:val="00F8486A"/>
    <w:rsid w:val="00F85CC0"/>
    <w:rsid w:val="00F865C2"/>
    <w:rsid w:val="00F90AA5"/>
    <w:rsid w:val="00F9190A"/>
    <w:rsid w:val="00F91E63"/>
    <w:rsid w:val="00F91E79"/>
    <w:rsid w:val="00F925AB"/>
    <w:rsid w:val="00F92AB8"/>
    <w:rsid w:val="00F92C21"/>
    <w:rsid w:val="00F9347C"/>
    <w:rsid w:val="00F939CC"/>
    <w:rsid w:val="00F93E4C"/>
    <w:rsid w:val="00F952FF"/>
    <w:rsid w:val="00F955A5"/>
    <w:rsid w:val="00F959D5"/>
    <w:rsid w:val="00F96D5C"/>
    <w:rsid w:val="00F975A3"/>
    <w:rsid w:val="00F97C97"/>
    <w:rsid w:val="00F97F39"/>
    <w:rsid w:val="00FA10D9"/>
    <w:rsid w:val="00FA1593"/>
    <w:rsid w:val="00FA243F"/>
    <w:rsid w:val="00FA2808"/>
    <w:rsid w:val="00FA30A4"/>
    <w:rsid w:val="00FA45B2"/>
    <w:rsid w:val="00FA59EE"/>
    <w:rsid w:val="00FA5EAB"/>
    <w:rsid w:val="00FA6056"/>
    <w:rsid w:val="00FA6508"/>
    <w:rsid w:val="00FA6E04"/>
    <w:rsid w:val="00FA73FD"/>
    <w:rsid w:val="00FB01C3"/>
    <w:rsid w:val="00FB04D2"/>
    <w:rsid w:val="00FB0DBF"/>
    <w:rsid w:val="00FB0F6F"/>
    <w:rsid w:val="00FB1DFF"/>
    <w:rsid w:val="00FB22BB"/>
    <w:rsid w:val="00FB5172"/>
    <w:rsid w:val="00FB52FD"/>
    <w:rsid w:val="00FB6658"/>
    <w:rsid w:val="00FB73EF"/>
    <w:rsid w:val="00FB7A22"/>
    <w:rsid w:val="00FC05EA"/>
    <w:rsid w:val="00FC2120"/>
    <w:rsid w:val="00FC2B70"/>
    <w:rsid w:val="00FC306A"/>
    <w:rsid w:val="00FC32F7"/>
    <w:rsid w:val="00FC3D05"/>
    <w:rsid w:val="00FC6358"/>
    <w:rsid w:val="00FC70C8"/>
    <w:rsid w:val="00FC7312"/>
    <w:rsid w:val="00FD03F1"/>
    <w:rsid w:val="00FD1140"/>
    <w:rsid w:val="00FD22A2"/>
    <w:rsid w:val="00FD2983"/>
    <w:rsid w:val="00FD368D"/>
    <w:rsid w:val="00FD3C8E"/>
    <w:rsid w:val="00FD3EC0"/>
    <w:rsid w:val="00FD45C0"/>
    <w:rsid w:val="00FD49ED"/>
    <w:rsid w:val="00FD4EAD"/>
    <w:rsid w:val="00FD5416"/>
    <w:rsid w:val="00FD5A55"/>
    <w:rsid w:val="00FE4F16"/>
    <w:rsid w:val="00FE71DC"/>
    <w:rsid w:val="00FE7A7A"/>
    <w:rsid w:val="00FF21D4"/>
    <w:rsid w:val="00FF2E87"/>
    <w:rsid w:val="00FF3035"/>
    <w:rsid w:val="00FF3071"/>
    <w:rsid w:val="00FF445B"/>
    <w:rsid w:val="00FF5667"/>
    <w:rsid w:val="00FF5CCE"/>
    <w:rsid w:val="00FF7B72"/>
    <w:rsid w:val="01F66ABD"/>
    <w:rsid w:val="028B0C88"/>
    <w:rsid w:val="04AC65F3"/>
    <w:rsid w:val="063E3F71"/>
    <w:rsid w:val="066B2D2B"/>
    <w:rsid w:val="06FB3624"/>
    <w:rsid w:val="07EC34D5"/>
    <w:rsid w:val="081302DD"/>
    <w:rsid w:val="082C040C"/>
    <w:rsid w:val="08D17635"/>
    <w:rsid w:val="097462DB"/>
    <w:rsid w:val="0AA0039E"/>
    <w:rsid w:val="0BA74939"/>
    <w:rsid w:val="0BE21253"/>
    <w:rsid w:val="0BED0F30"/>
    <w:rsid w:val="0DCE3EF9"/>
    <w:rsid w:val="0EED69D2"/>
    <w:rsid w:val="0FCF3050"/>
    <w:rsid w:val="0FEB6227"/>
    <w:rsid w:val="101E6631"/>
    <w:rsid w:val="10760289"/>
    <w:rsid w:val="10D5360C"/>
    <w:rsid w:val="11F548DB"/>
    <w:rsid w:val="129F7BC0"/>
    <w:rsid w:val="1431287F"/>
    <w:rsid w:val="17082098"/>
    <w:rsid w:val="176A3D73"/>
    <w:rsid w:val="17930DF4"/>
    <w:rsid w:val="184A0ED6"/>
    <w:rsid w:val="189E14B7"/>
    <w:rsid w:val="19600112"/>
    <w:rsid w:val="199A7C93"/>
    <w:rsid w:val="1A196F76"/>
    <w:rsid w:val="1A646CBA"/>
    <w:rsid w:val="1AEB3841"/>
    <w:rsid w:val="1AF657CA"/>
    <w:rsid w:val="1B966941"/>
    <w:rsid w:val="1CD816DA"/>
    <w:rsid w:val="1CD855C0"/>
    <w:rsid w:val="1CEA2FE1"/>
    <w:rsid w:val="1E3B350C"/>
    <w:rsid w:val="1E5001CD"/>
    <w:rsid w:val="1EF5422B"/>
    <w:rsid w:val="1F0823B7"/>
    <w:rsid w:val="1F4B32CA"/>
    <w:rsid w:val="1F5A6647"/>
    <w:rsid w:val="20A63147"/>
    <w:rsid w:val="22A63C41"/>
    <w:rsid w:val="22FB42AD"/>
    <w:rsid w:val="235A709A"/>
    <w:rsid w:val="254E0EA2"/>
    <w:rsid w:val="25BD4E0D"/>
    <w:rsid w:val="27135F1D"/>
    <w:rsid w:val="2774590E"/>
    <w:rsid w:val="27C53ADF"/>
    <w:rsid w:val="28772A2E"/>
    <w:rsid w:val="299E6E12"/>
    <w:rsid w:val="29E41CC6"/>
    <w:rsid w:val="2AA97A05"/>
    <w:rsid w:val="2ABC7317"/>
    <w:rsid w:val="2B5073AD"/>
    <w:rsid w:val="2BDC1B99"/>
    <w:rsid w:val="2DA40914"/>
    <w:rsid w:val="2E052CDC"/>
    <w:rsid w:val="2EA1374C"/>
    <w:rsid w:val="2F254CC4"/>
    <w:rsid w:val="2F312F24"/>
    <w:rsid w:val="2F7F7F4F"/>
    <w:rsid w:val="30F07A22"/>
    <w:rsid w:val="31127520"/>
    <w:rsid w:val="312207E7"/>
    <w:rsid w:val="3384585C"/>
    <w:rsid w:val="34797B6C"/>
    <w:rsid w:val="355867A2"/>
    <w:rsid w:val="35A9736A"/>
    <w:rsid w:val="35FE0FC8"/>
    <w:rsid w:val="377144F8"/>
    <w:rsid w:val="381B37CB"/>
    <w:rsid w:val="38524270"/>
    <w:rsid w:val="38E3243E"/>
    <w:rsid w:val="38FB1246"/>
    <w:rsid w:val="3A061EA6"/>
    <w:rsid w:val="3A2F65F9"/>
    <w:rsid w:val="3A71734D"/>
    <w:rsid w:val="3B8B5A5B"/>
    <w:rsid w:val="3BB979C0"/>
    <w:rsid w:val="3BC02F41"/>
    <w:rsid w:val="3C461222"/>
    <w:rsid w:val="3D0A53F2"/>
    <w:rsid w:val="3DAD19B0"/>
    <w:rsid w:val="3DB03A73"/>
    <w:rsid w:val="3DCE13C9"/>
    <w:rsid w:val="3E83414C"/>
    <w:rsid w:val="3ECC1C33"/>
    <w:rsid w:val="3F0B0779"/>
    <w:rsid w:val="40715F7E"/>
    <w:rsid w:val="40AE2B98"/>
    <w:rsid w:val="42F71EA4"/>
    <w:rsid w:val="42FC059E"/>
    <w:rsid w:val="44703A8A"/>
    <w:rsid w:val="460D0B17"/>
    <w:rsid w:val="464C1BF9"/>
    <w:rsid w:val="46AF6CB6"/>
    <w:rsid w:val="4793588C"/>
    <w:rsid w:val="483C72EA"/>
    <w:rsid w:val="49861BAE"/>
    <w:rsid w:val="49D422EC"/>
    <w:rsid w:val="49DA6537"/>
    <w:rsid w:val="4B6F2AC8"/>
    <w:rsid w:val="4C033495"/>
    <w:rsid w:val="4DB60683"/>
    <w:rsid w:val="4DCF4937"/>
    <w:rsid w:val="4E6D2E0C"/>
    <w:rsid w:val="4F592D54"/>
    <w:rsid w:val="501821D2"/>
    <w:rsid w:val="505D701A"/>
    <w:rsid w:val="51193E72"/>
    <w:rsid w:val="51360D6C"/>
    <w:rsid w:val="513C5482"/>
    <w:rsid w:val="514A4A3D"/>
    <w:rsid w:val="53F578BA"/>
    <w:rsid w:val="54620359"/>
    <w:rsid w:val="554F12B1"/>
    <w:rsid w:val="567F4A41"/>
    <w:rsid w:val="56FD55B6"/>
    <w:rsid w:val="57B05E10"/>
    <w:rsid w:val="57B9783A"/>
    <w:rsid w:val="58301ED9"/>
    <w:rsid w:val="58BC3D2C"/>
    <w:rsid w:val="59211F95"/>
    <w:rsid w:val="596A0161"/>
    <w:rsid w:val="5A88423B"/>
    <w:rsid w:val="5AB616CC"/>
    <w:rsid w:val="5ACD2AE0"/>
    <w:rsid w:val="5B2B6502"/>
    <w:rsid w:val="5B655677"/>
    <w:rsid w:val="5B686C9D"/>
    <w:rsid w:val="5BE80460"/>
    <w:rsid w:val="5C1A6F79"/>
    <w:rsid w:val="5C1B378F"/>
    <w:rsid w:val="5C4D1F25"/>
    <w:rsid w:val="5DC66DD2"/>
    <w:rsid w:val="5E150696"/>
    <w:rsid w:val="5E977128"/>
    <w:rsid w:val="5F503873"/>
    <w:rsid w:val="5FBB23D3"/>
    <w:rsid w:val="601D0FD2"/>
    <w:rsid w:val="60A83D8D"/>
    <w:rsid w:val="622B7232"/>
    <w:rsid w:val="62D20986"/>
    <w:rsid w:val="631B23B9"/>
    <w:rsid w:val="63DD06FF"/>
    <w:rsid w:val="64F5778E"/>
    <w:rsid w:val="66007C7D"/>
    <w:rsid w:val="66811B16"/>
    <w:rsid w:val="66A670CC"/>
    <w:rsid w:val="66A80E51"/>
    <w:rsid w:val="66C022CE"/>
    <w:rsid w:val="68225BFE"/>
    <w:rsid w:val="68482F6B"/>
    <w:rsid w:val="6866615A"/>
    <w:rsid w:val="6886205B"/>
    <w:rsid w:val="68B10AB4"/>
    <w:rsid w:val="691961AF"/>
    <w:rsid w:val="6A667245"/>
    <w:rsid w:val="6B5B3AF0"/>
    <w:rsid w:val="6BA92F88"/>
    <w:rsid w:val="6D281178"/>
    <w:rsid w:val="6D803064"/>
    <w:rsid w:val="6EA55B36"/>
    <w:rsid w:val="6F1B4F83"/>
    <w:rsid w:val="6F524DD1"/>
    <w:rsid w:val="713170E4"/>
    <w:rsid w:val="717D4810"/>
    <w:rsid w:val="71B67480"/>
    <w:rsid w:val="71D9429D"/>
    <w:rsid w:val="72714AAE"/>
    <w:rsid w:val="73FB40D9"/>
    <w:rsid w:val="7804251E"/>
    <w:rsid w:val="783D15F2"/>
    <w:rsid w:val="78532D59"/>
    <w:rsid w:val="79400E28"/>
    <w:rsid w:val="79831DCE"/>
    <w:rsid w:val="7A096848"/>
    <w:rsid w:val="7A713CD3"/>
    <w:rsid w:val="7ACB21F9"/>
    <w:rsid w:val="7ACF7324"/>
    <w:rsid w:val="7B012C9E"/>
    <w:rsid w:val="7D1642D4"/>
    <w:rsid w:val="7ECE48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iPriority="0" w:semiHidden="0" w:name="footer"/>
    <w:lsdException w:uiPriority="99" w:name="index heading"/>
    <w:lsdException w:qFormat="1" w:uiPriority="0" w:name="caption"/>
    <w:lsdException w:qFormat="1" w:unhideWhenUsed="0" w:uiPriority="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99"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qFormat="1" w:unhideWhenUsed="0" w:uiPriority="0"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iPriority="99" w:semiHidden="0" w:name="Body Text Indent 2"/>
    <w:lsdException w:qFormat="1" w:uiPriority="99" w:semiHidden="0" w:name="Body Text Indent 3"/>
    <w:lsdException w:qFormat="1"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position w:val="-6"/>
      <w:sz w:val="21"/>
      <w:lang w:val="en-US" w:eastAsia="zh-CN" w:bidi="ar-SA"/>
    </w:rPr>
  </w:style>
  <w:style w:type="paragraph" w:styleId="3">
    <w:name w:val="heading 1"/>
    <w:basedOn w:val="1"/>
    <w:next w:val="1"/>
    <w:link w:val="51"/>
    <w:qFormat/>
    <w:uiPriority w:val="0"/>
    <w:pPr>
      <w:keepNext/>
      <w:outlineLvl w:val="0"/>
    </w:pPr>
    <w:rPr>
      <w:rFonts w:ascii="宋体"/>
      <w:b/>
      <w:sz w:val="32"/>
    </w:rPr>
  </w:style>
  <w:style w:type="paragraph" w:styleId="2">
    <w:name w:val="heading 2"/>
    <w:basedOn w:val="1"/>
    <w:next w:val="1"/>
    <w:link w:val="74"/>
    <w:qFormat/>
    <w:uiPriority w:val="0"/>
    <w:pPr>
      <w:keepNext/>
      <w:outlineLvl w:val="1"/>
    </w:pPr>
    <w:rPr>
      <w:rFonts w:ascii="宋体"/>
      <w:b/>
      <w:sz w:val="32"/>
    </w:rPr>
  </w:style>
  <w:style w:type="paragraph" w:styleId="4">
    <w:name w:val="heading 3"/>
    <w:basedOn w:val="1"/>
    <w:next w:val="1"/>
    <w:link w:val="54"/>
    <w:qFormat/>
    <w:uiPriority w:val="0"/>
    <w:pPr>
      <w:keepNext/>
      <w:jc w:val="center"/>
      <w:outlineLvl w:val="2"/>
    </w:pPr>
    <w:rPr>
      <w:rFonts w:ascii="宋体" w:hAnsi="宋体"/>
      <w:b/>
      <w:bCs/>
      <w:sz w:val="24"/>
    </w:rPr>
  </w:style>
  <w:style w:type="paragraph" w:styleId="5">
    <w:name w:val="heading 4"/>
    <w:basedOn w:val="1"/>
    <w:next w:val="1"/>
    <w:link w:val="57"/>
    <w:qFormat/>
    <w:uiPriority w:val="0"/>
    <w:pPr>
      <w:keepNext/>
      <w:keepLines/>
      <w:autoSpaceDE w:val="0"/>
      <w:autoSpaceDN w:val="0"/>
      <w:adjustRightInd w:val="0"/>
      <w:spacing w:line="440" w:lineRule="atLeast"/>
      <w:ind w:firstLine="425"/>
      <w:jc w:val="left"/>
      <w:textAlignment w:val="baseline"/>
      <w:outlineLvl w:val="3"/>
    </w:pPr>
    <w:rPr>
      <w:rFonts w:ascii="黑体" w:eastAsia="黑体"/>
      <w:kern w:val="0"/>
      <w:position w:val="0"/>
      <w:sz w:val="24"/>
    </w:rPr>
  </w:style>
  <w:style w:type="character" w:default="1" w:styleId="40">
    <w:name w:val="Default Paragraph Font"/>
    <w:semiHidden/>
    <w:unhideWhenUsed/>
    <w:qFormat/>
    <w:uiPriority w:val="1"/>
  </w:style>
  <w:style w:type="table" w:default="1" w:styleId="38">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unhideWhenUsed/>
    <w:qFormat/>
    <w:uiPriority w:val="39"/>
    <w:pPr>
      <w:ind w:left="1260"/>
      <w:jc w:val="left"/>
    </w:pPr>
    <w:rPr>
      <w:rFonts w:ascii="Calibri" w:hAnsi="Calibri"/>
      <w:sz w:val="18"/>
      <w:szCs w:val="18"/>
    </w:rPr>
  </w:style>
  <w:style w:type="paragraph" w:styleId="7">
    <w:name w:val="Normal Indent"/>
    <w:basedOn w:val="1"/>
    <w:link w:val="136"/>
    <w:unhideWhenUsed/>
    <w:qFormat/>
    <w:uiPriority w:val="0"/>
    <w:pPr>
      <w:ind w:firstLine="420" w:firstLineChars="200"/>
    </w:pPr>
  </w:style>
  <w:style w:type="paragraph" w:styleId="8">
    <w:name w:val="Document Map"/>
    <w:basedOn w:val="1"/>
    <w:link w:val="66"/>
    <w:semiHidden/>
    <w:qFormat/>
    <w:uiPriority w:val="0"/>
    <w:pPr>
      <w:shd w:val="clear" w:color="auto" w:fill="000080"/>
    </w:pPr>
    <w:rPr>
      <w:position w:val="0"/>
      <w:szCs w:val="24"/>
    </w:rPr>
  </w:style>
  <w:style w:type="paragraph" w:styleId="9">
    <w:name w:val="annotation text"/>
    <w:basedOn w:val="1"/>
    <w:link w:val="60"/>
    <w:qFormat/>
    <w:uiPriority w:val="0"/>
    <w:pPr>
      <w:jc w:val="left"/>
    </w:pPr>
  </w:style>
  <w:style w:type="paragraph" w:styleId="10">
    <w:name w:val="Body Text 3"/>
    <w:basedOn w:val="1"/>
    <w:link w:val="78"/>
    <w:qFormat/>
    <w:uiPriority w:val="0"/>
    <w:pPr>
      <w:jc w:val="center"/>
    </w:pPr>
    <w:rPr>
      <w:sz w:val="28"/>
    </w:rPr>
  </w:style>
  <w:style w:type="paragraph" w:styleId="11">
    <w:name w:val="Body Text"/>
    <w:basedOn w:val="1"/>
    <w:link w:val="58"/>
    <w:qFormat/>
    <w:uiPriority w:val="0"/>
    <w:pPr>
      <w:snapToGrid w:val="0"/>
      <w:spacing w:line="360" w:lineRule="auto"/>
      <w:jc w:val="center"/>
    </w:pPr>
    <w:rPr>
      <w:sz w:val="28"/>
    </w:rPr>
  </w:style>
  <w:style w:type="paragraph" w:styleId="12">
    <w:name w:val="Body Text Indent"/>
    <w:basedOn w:val="1"/>
    <w:link w:val="55"/>
    <w:unhideWhenUsed/>
    <w:qFormat/>
    <w:uiPriority w:val="99"/>
    <w:pPr>
      <w:spacing w:after="120"/>
      <w:ind w:left="420" w:leftChars="200"/>
    </w:pPr>
  </w:style>
  <w:style w:type="paragraph" w:styleId="13">
    <w:name w:val="Block Text"/>
    <w:basedOn w:val="1"/>
    <w:qFormat/>
    <w:uiPriority w:val="0"/>
    <w:pPr>
      <w:tabs>
        <w:tab w:val="left" w:pos="720"/>
      </w:tabs>
      <w:spacing w:beforeLines="100"/>
      <w:ind w:left="1800" w:right="-512" w:rightChars="-244"/>
    </w:pPr>
    <w:rPr>
      <w:position w:val="0"/>
      <w:sz w:val="36"/>
      <w:szCs w:val="24"/>
    </w:rPr>
  </w:style>
  <w:style w:type="paragraph" w:styleId="14">
    <w:name w:val="toc 5"/>
    <w:basedOn w:val="1"/>
    <w:next w:val="1"/>
    <w:unhideWhenUsed/>
    <w:qFormat/>
    <w:uiPriority w:val="39"/>
    <w:pPr>
      <w:ind w:left="840"/>
      <w:jc w:val="left"/>
    </w:pPr>
    <w:rPr>
      <w:rFonts w:ascii="Calibri" w:hAnsi="Calibri"/>
      <w:sz w:val="18"/>
      <w:szCs w:val="18"/>
    </w:rPr>
  </w:style>
  <w:style w:type="paragraph" w:styleId="15">
    <w:name w:val="toc 3"/>
    <w:basedOn w:val="1"/>
    <w:next w:val="1"/>
    <w:unhideWhenUsed/>
    <w:qFormat/>
    <w:uiPriority w:val="39"/>
    <w:pPr>
      <w:ind w:left="420"/>
      <w:jc w:val="left"/>
    </w:pPr>
    <w:rPr>
      <w:rFonts w:ascii="Calibri" w:hAnsi="Calibri"/>
      <w:i/>
      <w:iCs/>
      <w:sz w:val="20"/>
    </w:rPr>
  </w:style>
  <w:style w:type="paragraph" w:styleId="16">
    <w:name w:val="Plain Text"/>
    <w:basedOn w:val="1"/>
    <w:link w:val="73"/>
    <w:qFormat/>
    <w:uiPriority w:val="0"/>
    <w:rPr>
      <w:rFonts w:ascii="宋体" w:hAnsi="Courier New"/>
    </w:rPr>
  </w:style>
  <w:style w:type="paragraph" w:styleId="17">
    <w:name w:val="toc 8"/>
    <w:basedOn w:val="1"/>
    <w:next w:val="1"/>
    <w:unhideWhenUsed/>
    <w:qFormat/>
    <w:uiPriority w:val="39"/>
    <w:pPr>
      <w:ind w:left="1470"/>
      <w:jc w:val="left"/>
    </w:pPr>
    <w:rPr>
      <w:rFonts w:ascii="Calibri" w:hAnsi="Calibri"/>
      <w:sz w:val="18"/>
      <w:szCs w:val="18"/>
    </w:rPr>
  </w:style>
  <w:style w:type="paragraph" w:styleId="18">
    <w:name w:val="Date"/>
    <w:basedOn w:val="1"/>
    <w:next w:val="1"/>
    <w:link w:val="61"/>
    <w:qFormat/>
    <w:uiPriority w:val="0"/>
    <w:pPr>
      <w:ind w:left="100" w:leftChars="2500"/>
    </w:pPr>
    <w:rPr>
      <w:position w:val="0"/>
      <w:szCs w:val="24"/>
    </w:rPr>
  </w:style>
  <w:style w:type="paragraph" w:styleId="19">
    <w:name w:val="Body Text Indent 2"/>
    <w:basedOn w:val="1"/>
    <w:link w:val="59"/>
    <w:unhideWhenUsed/>
    <w:qFormat/>
    <w:uiPriority w:val="99"/>
    <w:pPr>
      <w:spacing w:after="120" w:line="480" w:lineRule="auto"/>
      <w:ind w:left="420" w:leftChars="200"/>
    </w:pPr>
  </w:style>
  <w:style w:type="paragraph" w:styleId="20">
    <w:name w:val="endnote text"/>
    <w:basedOn w:val="1"/>
    <w:link w:val="68"/>
    <w:unhideWhenUsed/>
    <w:qFormat/>
    <w:uiPriority w:val="99"/>
    <w:pPr>
      <w:snapToGrid w:val="0"/>
      <w:jc w:val="left"/>
    </w:pPr>
  </w:style>
  <w:style w:type="paragraph" w:styleId="21">
    <w:name w:val="Balloon Text"/>
    <w:basedOn w:val="1"/>
    <w:next w:val="1"/>
    <w:link w:val="63"/>
    <w:unhideWhenUsed/>
    <w:qFormat/>
    <w:uiPriority w:val="99"/>
    <w:rPr>
      <w:sz w:val="18"/>
      <w:szCs w:val="18"/>
    </w:rPr>
  </w:style>
  <w:style w:type="paragraph" w:styleId="22">
    <w:name w:val="footer"/>
    <w:basedOn w:val="1"/>
    <w:link w:val="67"/>
    <w:unhideWhenUsed/>
    <w:qFormat/>
    <w:uiPriority w:val="0"/>
    <w:pPr>
      <w:tabs>
        <w:tab w:val="center" w:pos="4153"/>
        <w:tab w:val="right" w:pos="8306"/>
      </w:tabs>
      <w:snapToGrid w:val="0"/>
      <w:jc w:val="left"/>
    </w:pPr>
    <w:rPr>
      <w:sz w:val="18"/>
      <w:szCs w:val="18"/>
    </w:rPr>
  </w:style>
  <w:style w:type="paragraph" w:styleId="23">
    <w:name w:val="header"/>
    <w:basedOn w:val="1"/>
    <w:qFormat/>
    <w:uiPriority w:val="0"/>
    <w:pPr>
      <w:tabs>
        <w:tab w:val="center" w:pos="4153"/>
        <w:tab w:val="right" w:pos="8306"/>
      </w:tabs>
      <w:snapToGrid w:val="0"/>
      <w:jc w:val="center"/>
    </w:pPr>
    <w:rPr>
      <w:sz w:val="18"/>
      <w:szCs w:val="18"/>
    </w:rPr>
  </w:style>
  <w:style w:type="paragraph" w:styleId="24">
    <w:name w:val="toc 1"/>
    <w:basedOn w:val="1"/>
    <w:next w:val="1"/>
    <w:qFormat/>
    <w:uiPriority w:val="39"/>
    <w:pPr>
      <w:spacing w:before="120" w:after="120"/>
      <w:jc w:val="left"/>
    </w:pPr>
    <w:rPr>
      <w:rFonts w:ascii="Calibri" w:hAnsi="Calibri"/>
      <w:b/>
      <w:bCs/>
      <w:caps/>
      <w:sz w:val="20"/>
    </w:rPr>
  </w:style>
  <w:style w:type="paragraph" w:styleId="25">
    <w:name w:val="toc 4"/>
    <w:basedOn w:val="1"/>
    <w:next w:val="1"/>
    <w:unhideWhenUsed/>
    <w:qFormat/>
    <w:uiPriority w:val="39"/>
    <w:pPr>
      <w:ind w:left="630"/>
      <w:jc w:val="left"/>
    </w:pPr>
    <w:rPr>
      <w:rFonts w:ascii="Calibri" w:hAnsi="Calibri"/>
      <w:sz w:val="18"/>
      <w:szCs w:val="18"/>
    </w:rPr>
  </w:style>
  <w:style w:type="paragraph" w:styleId="26">
    <w:name w:val="Subtitle"/>
    <w:basedOn w:val="1"/>
    <w:next w:val="1"/>
    <w:qFormat/>
    <w:uiPriority w:val="99"/>
    <w:pPr>
      <w:spacing w:before="400" w:line="360" w:lineRule="auto"/>
      <w:jc w:val="left"/>
      <w:outlineLvl w:val="1"/>
    </w:pPr>
    <w:rPr>
      <w:rFonts w:ascii="Cambria" w:hAnsi="Cambria" w:eastAsia="黑体" w:cs="Cambria"/>
      <w:b/>
      <w:bCs/>
      <w:kern w:val="28"/>
      <w:position w:val="0"/>
      <w:sz w:val="32"/>
      <w:szCs w:val="32"/>
    </w:rPr>
  </w:style>
  <w:style w:type="paragraph" w:styleId="27">
    <w:name w:val="footnote text"/>
    <w:basedOn w:val="1"/>
    <w:link w:val="72"/>
    <w:qFormat/>
    <w:uiPriority w:val="0"/>
    <w:pPr>
      <w:snapToGrid w:val="0"/>
      <w:jc w:val="left"/>
    </w:pPr>
    <w:rPr>
      <w:position w:val="0"/>
      <w:sz w:val="18"/>
      <w:szCs w:val="18"/>
    </w:rPr>
  </w:style>
  <w:style w:type="paragraph" w:styleId="28">
    <w:name w:val="toc 6"/>
    <w:basedOn w:val="1"/>
    <w:next w:val="1"/>
    <w:unhideWhenUsed/>
    <w:qFormat/>
    <w:uiPriority w:val="39"/>
    <w:pPr>
      <w:ind w:left="1050"/>
      <w:jc w:val="left"/>
    </w:pPr>
    <w:rPr>
      <w:rFonts w:ascii="Calibri" w:hAnsi="Calibri"/>
      <w:sz w:val="18"/>
      <w:szCs w:val="18"/>
    </w:rPr>
  </w:style>
  <w:style w:type="paragraph" w:styleId="29">
    <w:name w:val="Body Text Indent 3"/>
    <w:basedOn w:val="1"/>
    <w:link w:val="77"/>
    <w:unhideWhenUsed/>
    <w:qFormat/>
    <w:uiPriority w:val="99"/>
    <w:pPr>
      <w:spacing w:after="120"/>
      <w:ind w:left="420" w:leftChars="200"/>
    </w:pPr>
    <w:rPr>
      <w:sz w:val="16"/>
      <w:szCs w:val="16"/>
    </w:rPr>
  </w:style>
  <w:style w:type="paragraph" w:styleId="30">
    <w:name w:val="table of figures"/>
    <w:basedOn w:val="1"/>
    <w:next w:val="1"/>
    <w:link w:val="52"/>
    <w:semiHidden/>
    <w:qFormat/>
    <w:uiPriority w:val="0"/>
    <w:pPr>
      <w:ind w:left="840" w:hanging="420"/>
    </w:pPr>
    <w:rPr>
      <w:position w:val="0"/>
      <w:szCs w:val="24"/>
    </w:rPr>
  </w:style>
  <w:style w:type="paragraph" w:styleId="31">
    <w:name w:val="toc 2"/>
    <w:basedOn w:val="1"/>
    <w:next w:val="1"/>
    <w:unhideWhenUsed/>
    <w:qFormat/>
    <w:uiPriority w:val="39"/>
    <w:pPr>
      <w:ind w:left="210"/>
      <w:jc w:val="left"/>
    </w:pPr>
    <w:rPr>
      <w:rFonts w:ascii="Calibri" w:hAnsi="Calibri"/>
      <w:smallCaps/>
      <w:sz w:val="20"/>
    </w:rPr>
  </w:style>
  <w:style w:type="paragraph" w:styleId="32">
    <w:name w:val="toc 9"/>
    <w:basedOn w:val="1"/>
    <w:next w:val="1"/>
    <w:unhideWhenUsed/>
    <w:qFormat/>
    <w:uiPriority w:val="39"/>
    <w:pPr>
      <w:ind w:left="1680"/>
      <w:jc w:val="left"/>
    </w:pPr>
    <w:rPr>
      <w:rFonts w:ascii="Calibri" w:hAnsi="Calibri"/>
      <w:sz w:val="18"/>
      <w:szCs w:val="18"/>
    </w:rPr>
  </w:style>
  <w:style w:type="paragraph" w:styleId="33">
    <w:name w:val="Body Text 2"/>
    <w:basedOn w:val="1"/>
    <w:link w:val="71"/>
    <w:qFormat/>
    <w:uiPriority w:val="0"/>
    <w:pPr>
      <w:jc w:val="center"/>
    </w:pPr>
    <w:rPr>
      <w:sz w:val="24"/>
    </w:rPr>
  </w:style>
  <w:style w:type="paragraph" w:styleId="34">
    <w:name w:val="Normal (Web)"/>
    <w:basedOn w:val="1"/>
    <w:unhideWhenUsed/>
    <w:qFormat/>
    <w:uiPriority w:val="99"/>
    <w:rPr>
      <w:sz w:val="24"/>
    </w:rPr>
  </w:style>
  <w:style w:type="paragraph" w:styleId="35">
    <w:name w:val="Title"/>
    <w:basedOn w:val="1"/>
    <w:qFormat/>
    <w:uiPriority w:val="0"/>
    <w:pPr>
      <w:widowControl/>
      <w:tabs>
        <w:tab w:val="left" w:pos="9360"/>
      </w:tabs>
      <w:ind w:right="-630"/>
      <w:jc w:val="center"/>
    </w:pPr>
    <w:rPr>
      <w:rFonts w:ascii="Arial" w:hAnsi="Arial"/>
      <w:spacing w:val="80"/>
      <w:kern w:val="0"/>
      <w:sz w:val="40"/>
    </w:rPr>
  </w:style>
  <w:style w:type="paragraph" w:styleId="36">
    <w:name w:val="annotation subject"/>
    <w:basedOn w:val="9"/>
    <w:next w:val="9"/>
    <w:link w:val="56"/>
    <w:qFormat/>
    <w:uiPriority w:val="0"/>
    <w:rPr>
      <w:b/>
      <w:bCs/>
    </w:rPr>
  </w:style>
  <w:style w:type="paragraph" w:styleId="37">
    <w:name w:val="Body Text First Indent 2"/>
    <w:basedOn w:val="12"/>
    <w:qFormat/>
    <w:uiPriority w:val="0"/>
    <w:pPr>
      <w:ind w:firstLine="420" w:firstLineChars="200"/>
    </w:pPr>
  </w:style>
  <w:style w:type="table" w:styleId="39">
    <w:name w:val="Table Grid"/>
    <w:basedOn w:val="38"/>
    <w:qFormat/>
    <w:uiPriority w:val="1"/>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1">
    <w:name w:val="Strong"/>
    <w:basedOn w:val="40"/>
    <w:qFormat/>
    <w:uiPriority w:val="0"/>
    <w:rPr>
      <w:b/>
    </w:rPr>
  </w:style>
  <w:style w:type="character" w:styleId="42">
    <w:name w:val="page number"/>
    <w:basedOn w:val="40"/>
    <w:qFormat/>
    <w:uiPriority w:val="0"/>
  </w:style>
  <w:style w:type="character" w:styleId="43">
    <w:name w:val="FollowedHyperlink"/>
    <w:basedOn w:val="40"/>
    <w:unhideWhenUsed/>
    <w:qFormat/>
    <w:uiPriority w:val="99"/>
    <w:rPr>
      <w:rFonts w:hint="eastAsia" w:ascii="微软雅黑" w:hAnsi="微软雅黑" w:eastAsia="微软雅黑" w:cs="微软雅黑"/>
      <w:color w:val="428BCA"/>
      <w:u w:val="none"/>
    </w:rPr>
  </w:style>
  <w:style w:type="character" w:styleId="44">
    <w:name w:val="HTML Definition"/>
    <w:basedOn w:val="40"/>
    <w:unhideWhenUsed/>
    <w:qFormat/>
    <w:uiPriority w:val="99"/>
    <w:rPr>
      <w:i/>
      <w:shd w:val="clear" w:color="auto" w:fill="D9534F"/>
    </w:rPr>
  </w:style>
  <w:style w:type="character" w:styleId="45">
    <w:name w:val="Hyperlink"/>
    <w:basedOn w:val="40"/>
    <w:qFormat/>
    <w:uiPriority w:val="99"/>
    <w:rPr>
      <w:rFonts w:ascii="微软雅黑" w:hAnsi="微软雅黑" w:eastAsia="微软雅黑" w:cs="微软雅黑"/>
      <w:color w:val="428BCA"/>
      <w:u w:val="none"/>
    </w:rPr>
  </w:style>
  <w:style w:type="character" w:styleId="46">
    <w:name w:val="HTML Code"/>
    <w:basedOn w:val="40"/>
    <w:unhideWhenUsed/>
    <w:qFormat/>
    <w:uiPriority w:val="99"/>
    <w:rPr>
      <w:rFonts w:ascii="Consolas" w:hAnsi="Consolas" w:eastAsia="Consolas" w:cs="Consolas"/>
      <w:color w:val="C7254E"/>
      <w:sz w:val="21"/>
      <w:szCs w:val="21"/>
      <w:shd w:val="clear" w:color="auto" w:fill="F9F2F4"/>
    </w:rPr>
  </w:style>
  <w:style w:type="character" w:styleId="47">
    <w:name w:val="annotation reference"/>
    <w:qFormat/>
    <w:uiPriority w:val="0"/>
    <w:rPr>
      <w:sz w:val="21"/>
      <w:szCs w:val="21"/>
    </w:rPr>
  </w:style>
  <w:style w:type="character" w:styleId="48">
    <w:name w:val="footnote reference"/>
    <w:qFormat/>
    <w:uiPriority w:val="0"/>
    <w:rPr>
      <w:vertAlign w:val="superscript"/>
    </w:rPr>
  </w:style>
  <w:style w:type="character" w:styleId="49">
    <w:name w:val="HTML Keyboard"/>
    <w:basedOn w:val="40"/>
    <w:unhideWhenUsed/>
    <w:qFormat/>
    <w:uiPriority w:val="99"/>
    <w:rPr>
      <w:rFonts w:hint="default" w:ascii="Consolas" w:hAnsi="Consolas" w:eastAsia="Consolas" w:cs="Consolas"/>
      <w:color w:val="FFFFFF"/>
      <w:sz w:val="21"/>
      <w:szCs w:val="21"/>
      <w:shd w:val="clear" w:color="auto" w:fill="333333"/>
    </w:rPr>
  </w:style>
  <w:style w:type="character" w:styleId="50">
    <w:name w:val="HTML Sample"/>
    <w:basedOn w:val="40"/>
    <w:unhideWhenUsed/>
    <w:qFormat/>
    <w:uiPriority w:val="99"/>
    <w:rPr>
      <w:rFonts w:hint="default" w:ascii="Consolas" w:hAnsi="Consolas" w:eastAsia="Consolas" w:cs="Consolas"/>
      <w:sz w:val="21"/>
      <w:szCs w:val="21"/>
    </w:rPr>
  </w:style>
  <w:style w:type="character" w:customStyle="1" w:styleId="51">
    <w:name w:val="标题 1 字符"/>
    <w:link w:val="3"/>
    <w:qFormat/>
    <w:uiPriority w:val="0"/>
    <w:rPr>
      <w:rFonts w:ascii="宋体"/>
      <w:b/>
      <w:kern w:val="2"/>
      <w:position w:val="-6"/>
      <w:sz w:val="32"/>
    </w:rPr>
  </w:style>
  <w:style w:type="character" w:customStyle="1" w:styleId="52">
    <w:name w:val="图表目录 字符"/>
    <w:link w:val="30"/>
    <w:semiHidden/>
    <w:qFormat/>
    <w:uiPriority w:val="0"/>
    <w:rPr>
      <w:kern w:val="2"/>
      <w:sz w:val="21"/>
      <w:szCs w:val="24"/>
    </w:rPr>
  </w:style>
  <w:style w:type="character" w:customStyle="1" w:styleId="53">
    <w:name w:val="正文文本缩进 字符"/>
    <w:qFormat/>
    <w:uiPriority w:val="99"/>
    <w:rPr>
      <w:kern w:val="2"/>
      <w:position w:val="-6"/>
      <w:sz w:val="21"/>
    </w:rPr>
  </w:style>
  <w:style w:type="character" w:customStyle="1" w:styleId="54">
    <w:name w:val="标题 3 字符"/>
    <w:link w:val="4"/>
    <w:qFormat/>
    <w:uiPriority w:val="0"/>
    <w:rPr>
      <w:rFonts w:ascii="宋体" w:hAnsi="宋体"/>
      <w:b/>
      <w:bCs/>
      <w:kern w:val="2"/>
      <w:position w:val="-6"/>
      <w:sz w:val="24"/>
    </w:rPr>
  </w:style>
  <w:style w:type="character" w:customStyle="1" w:styleId="55">
    <w:name w:val="正文文本缩进 字符1"/>
    <w:basedOn w:val="40"/>
    <w:link w:val="12"/>
    <w:qFormat/>
    <w:uiPriority w:val="0"/>
    <w:rPr>
      <w:kern w:val="2"/>
      <w:sz w:val="21"/>
      <w:szCs w:val="24"/>
    </w:rPr>
  </w:style>
  <w:style w:type="character" w:customStyle="1" w:styleId="56">
    <w:name w:val="批注主题 字符"/>
    <w:link w:val="36"/>
    <w:qFormat/>
    <w:uiPriority w:val="0"/>
    <w:rPr>
      <w:b/>
      <w:bCs/>
      <w:kern w:val="2"/>
      <w:position w:val="-6"/>
      <w:sz w:val="21"/>
    </w:rPr>
  </w:style>
  <w:style w:type="character" w:customStyle="1" w:styleId="57">
    <w:name w:val="标题 4 字符"/>
    <w:link w:val="5"/>
    <w:qFormat/>
    <w:uiPriority w:val="0"/>
    <w:rPr>
      <w:rFonts w:ascii="黑体" w:eastAsia="黑体"/>
      <w:sz w:val="24"/>
    </w:rPr>
  </w:style>
  <w:style w:type="character" w:customStyle="1" w:styleId="58">
    <w:name w:val="正文文本 字符"/>
    <w:link w:val="11"/>
    <w:qFormat/>
    <w:uiPriority w:val="0"/>
    <w:rPr>
      <w:kern w:val="2"/>
      <w:position w:val="-6"/>
      <w:sz w:val="28"/>
    </w:rPr>
  </w:style>
  <w:style w:type="character" w:customStyle="1" w:styleId="59">
    <w:name w:val="正文文本缩进 2 字符"/>
    <w:link w:val="19"/>
    <w:qFormat/>
    <w:uiPriority w:val="99"/>
    <w:rPr>
      <w:kern w:val="2"/>
      <w:position w:val="-6"/>
      <w:sz w:val="21"/>
    </w:rPr>
  </w:style>
  <w:style w:type="character" w:customStyle="1" w:styleId="60">
    <w:name w:val="批注文字 字符"/>
    <w:link w:val="9"/>
    <w:qFormat/>
    <w:uiPriority w:val="0"/>
    <w:rPr>
      <w:kern w:val="2"/>
      <w:position w:val="-6"/>
      <w:sz w:val="21"/>
    </w:rPr>
  </w:style>
  <w:style w:type="character" w:customStyle="1" w:styleId="61">
    <w:name w:val="日期 字符"/>
    <w:link w:val="18"/>
    <w:qFormat/>
    <w:uiPriority w:val="0"/>
    <w:rPr>
      <w:kern w:val="2"/>
      <w:sz w:val="21"/>
      <w:szCs w:val="24"/>
    </w:rPr>
  </w:style>
  <w:style w:type="character" w:customStyle="1" w:styleId="62">
    <w:name w:val="正文文本缩进 Char"/>
    <w:basedOn w:val="40"/>
    <w:qFormat/>
    <w:uiPriority w:val="0"/>
    <w:rPr>
      <w:kern w:val="2"/>
      <w:sz w:val="28"/>
      <w:szCs w:val="24"/>
    </w:rPr>
  </w:style>
  <w:style w:type="character" w:customStyle="1" w:styleId="63">
    <w:name w:val="批注框文本 字符"/>
    <w:link w:val="21"/>
    <w:qFormat/>
    <w:uiPriority w:val="99"/>
    <w:rPr>
      <w:kern w:val="2"/>
      <w:position w:val="-6"/>
      <w:sz w:val="18"/>
      <w:szCs w:val="18"/>
    </w:rPr>
  </w:style>
  <w:style w:type="character" w:customStyle="1" w:styleId="64">
    <w:name w:val="表格（5号字） Char"/>
    <w:link w:val="65"/>
    <w:qFormat/>
    <w:uiPriority w:val="0"/>
    <w:rPr>
      <w:rFonts w:ascii="Calibri" w:hAnsi="Calibri"/>
      <w:snapToGrid w:val="0"/>
      <w:color w:val="000000"/>
      <w:position w:val="-6"/>
      <w:sz w:val="21"/>
    </w:rPr>
  </w:style>
  <w:style w:type="paragraph" w:customStyle="1" w:styleId="65">
    <w:name w:val="表格（5号字）"/>
    <w:basedOn w:val="1"/>
    <w:next w:val="1"/>
    <w:link w:val="64"/>
    <w:qFormat/>
    <w:uiPriority w:val="0"/>
    <w:pPr>
      <w:adjustRightInd w:val="0"/>
      <w:snapToGrid w:val="0"/>
      <w:jc w:val="center"/>
      <w:textAlignment w:val="center"/>
    </w:pPr>
    <w:rPr>
      <w:rFonts w:ascii="Calibri" w:hAnsi="Calibri"/>
      <w:snapToGrid w:val="0"/>
      <w:color w:val="000000"/>
      <w:kern w:val="0"/>
    </w:rPr>
  </w:style>
  <w:style w:type="character" w:customStyle="1" w:styleId="66">
    <w:name w:val="文档结构图 字符"/>
    <w:link w:val="8"/>
    <w:semiHidden/>
    <w:qFormat/>
    <w:uiPriority w:val="0"/>
    <w:rPr>
      <w:kern w:val="2"/>
      <w:sz w:val="21"/>
      <w:szCs w:val="24"/>
      <w:shd w:val="clear" w:color="auto" w:fill="000080"/>
    </w:rPr>
  </w:style>
  <w:style w:type="character" w:customStyle="1" w:styleId="67">
    <w:name w:val="页脚 字符"/>
    <w:link w:val="22"/>
    <w:qFormat/>
    <w:uiPriority w:val="0"/>
    <w:rPr>
      <w:kern w:val="2"/>
      <w:position w:val="-6"/>
      <w:sz w:val="18"/>
      <w:szCs w:val="18"/>
    </w:rPr>
  </w:style>
  <w:style w:type="character" w:customStyle="1" w:styleId="68">
    <w:name w:val="尾注文本 字符"/>
    <w:link w:val="20"/>
    <w:semiHidden/>
    <w:qFormat/>
    <w:uiPriority w:val="99"/>
    <w:rPr>
      <w:kern w:val="2"/>
      <w:position w:val="-6"/>
      <w:sz w:val="21"/>
    </w:rPr>
  </w:style>
  <w:style w:type="character" w:customStyle="1" w:styleId="69">
    <w:name w:val="无间隔 字符"/>
    <w:link w:val="70"/>
    <w:qFormat/>
    <w:uiPriority w:val="1"/>
    <w:rPr>
      <w:kern w:val="2"/>
      <w:sz w:val="22"/>
      <w:szCs w:val="22"/>
      <w:lang w:val="en-US" w:eastAsia="zh-CN" w:bidi="ar-SA"/>
    </w:rPr>
  </w:style>
  <w:style w:type="paragraph" w:styleId="70">
    <w:name w:val="No Spacing"/>
    <w:link w:val="69"/>
    <w:qFormat/>
    <w:uiPriority w:val="1"/>
    <w:rPr>
      <w:rFonts w:ascii="Times New Roman" w:hAnsi="Times New Roman" w:eastAsia="宋体" w:cs="Times New Roman"/>
      <w:kern w:val="2"/>
      <w:sz w:val="22"/>
      <w:szCs w:val="22"/>
      <w:lang w:val="en-US" w:eastAsia="zh-CN" w:bidi="ar-SA"/>
    </w:rPr>
  </w:style>
  <w:style w:type="character" w:customStyle="1" w:styleId="71">
    <w:name w:val="正文文本 2 字符"/>
    <w:link w:val="33"/>
    <w:qFormat/>
    <w:uiPriority w:val="0"/>
    <w:rPr>
      <w:kern w:val="2"/>
      <w:position w:val="-6"/>
      <w:sz w:val="24"/>
    </w:rPr>
  </w:style>
  <w:style w:type="character" w:customStyle="1" w:styleId="72">
    <w:name w:val="脚注文本 字符"/>
    <w:link w:val="27"/>
    <w:qFormat/>
    <w:uiPriority w:val="0"/>
    <w:rPr>
      <w:kern w:val="2"/>
      <w:sz w:val="18"/>
      <w:szCs w:val="18"/>
    </w:rPr>
  </w:style>
  <w:style w:type="character" w:customStyle="1" w:styleId="73">
    <w:name w:val="纯文本 字符"/>
    <w:link w:val="16"/>
    <w:qFormat/>
    <w:uiPriority w:val="0"/>
    <w:rPr>
      <w:rFonts w:ascii="宋体" w:hAnsi="Courier New"/>
      <w:kern w:val="2"/>
      <w:position w:val="-6"/>
      <w:sz w:val="21"/>
    </w:rPr>
  </w:style>
  <w:style w:type="character" w:customStyle="1" w:styleId="74">
    <w:name w:val="标题 2 字符"/>
    <w:link w:val="2"/>
    <w:qFormat/>
    <w:uiPriority w:val="0"/>
    <w:rPr>
      <w:rFonts w:ascii="宋体"/>
      <w:b/>
      <w:kern w:val="2"/>
      <w:position w:val="-6"/>
      <w:sz w:val="32"/>
    </w:rPr>
  </w:style>
  <w:style w:type="character" w:customStyle="1" w:styleId="75">
    <w:name w:val="样式 样式 宋体 四号 左 行距: 固定值 25 磅 + 首行缩进:  2 字符 Char"/>
    <w:link w:val="76"/>
    <w:qFormat/>
    <w:uiPriority w:val="99"/>
    <w:rPr>
      <w:rFonts w:ascii="宋体" w:hAnsi="宋体"/>
      <w:snapToGrid w:val="0"/>
      <w:sz w:val="28"/>
      <w:szCs w:val="28"/>
    </w:rPr>
  </w:style>
  <w:style w:type="paragraph" w:customStyle="1" w:styleId="76">
    <w:name w:val="样式 样式 宋体 四号 左 行距: 固定值 25 磅 + 首行缩进:  2 字符"/>
    <w:basedOn w:val="1"/>
    <w:link w:val="75"/>
    <w:qFormat/>
    <w:uiPriority w:val="99"/>
    <w:pPr>
      <w:widowControl/>
      <w:adjustRightInd w:val="0"/>
      <w:snapToGrid w:val="0"/>
      <w:spacing w:before="50" w:beforeLines="50" w:line="500" w:lineRule="exact"/>
      <w:ind w:firstLine="200" w:firstLineChars="200"/>
      <w:jc w:val="left"/>
    </w:pPr>
    <w:rPr>
      <w:rFonts w:ascii="宋体" w:hAnsi="宋体"/>
      <w:snapToGrid w:val="0"/>
      <w:kern w:val="0"/>
      <w:position w:val="0"/>
      <w:sz w:val="28"/>
      <w:szCs w:val="28"/>
    </w:rPr>
  </w:style>
  <w:style w:type="character" w:customStyle="1" w:styleId="77">
    <w:name w:val="正文文本缩进 3 字符"/>
    <w:link w:val="29"/>
    <w:qFormat/>
    <w:uiPriority w:val="99"/>
    <w:rPr>
      <w:kern w:val="2"/>
      <w:position w:val="-6"/>
      <w:sz w:val="16"/>
      <w:szCs w:val="16"/>
    </w:rPr>
  </w:style>
  <w:style w:type="character" w:customStyle="1" w:styleId="78">
    <w:name w:val="正文文本 3 字符"/>
    <w:link w:val="10"/>
    <w:qFormat/>
    <w:uiPriority w:val="0"/>
    <w:rPr>
      <w:kern w:val="2"/>
      <w:position w:val="-6"/>
      <w:sz w:val="28"/>
    </w:rPr>
  </w:style>
  <w:style w:type="paragraph" w:customStyle="1" w:styleId="79">
    <w:name w:val="3"/>
    <w:basedOn w:val="1"/>
    <w:qFormat/>
    <w:uiPriority w:val="0"/>
    <w:pPr>
      <w:tabs>
        <w:tab w:val="left" w:pos="630"/>
      </w:tabs>
      <w:adjustRightInd w:val="0"/>
      <w:snapToGrid w:val="0"/>
      <w:spacing w:line="520" w:lineRule="exact"/>
      <w:outlineLvl w:val="2"/>
    </w:pPr>
    <w:rPr>
      <w:rFonts w:eastAsia="仿宋_GB2312"/>
      <w:snapToGrid w:val="0"/>
      <w:spacing w:val="8"/>
      <w:kern w:val="0"/>
      <w:position w:val="0"/>
      <w:sz w:val="28"/>
    </w:rPr>
  </w:style>
  <w:style w:type="paragraph" w:styleId="80">
    <w:name w:val="List Paragraph"/>
    <w:basedOn w:val="1"/>
    <w:qFormat/>
    <w:uiPriority w:val="34"/>
    <w:pPr>
      <w:ind w:firstLine="420" w:firstLineChars="200"/>
    </w:pPr>
  </w:style>
  <w:style w:type="paragraph" w:customStyle="1" w:styleId="81">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center"/>
    </w:pPr>
    <w:rPr>
      <w:kern w:val="0"/>
      <w:position w:val="0"/>
      <w:sz w:val="24"/>
      <w:szCs w:val="24"/>
    </w:rPr>
  </w:style>
  <w:style w:type="paragraph" w:customStyle="1" w:styleId="82">
    <w:name w:val="TOC 标题1"/>
    <w:basedOn w:val="3"/>
    <w:next w:val="1"/>
    <w:qFormat/>
    <w:uiPriority w:val="39"/>
    <w:pPr>
      <w:keepLines/>
      <w:widowControl/>
      <w:spacing w:before="480" w:line="276" w:lineRule="auto"/>
      <w:jc w:val="left"/>
      <w:outlineLvl w:val="9"/>
    </w:pPr>
    <w:rPr>
      <w:rFonts w:ascii="Cambria" w:hAnsi="Cambria"/>
      <w:bCs/>
      <w:color w:val="365F91"/>
      <w:kern w:val="0"/>
      <w:position w:val="0"/>
      <w:sz w:val="28"/>
      <w:szCs w:val="28"/>
    </w:rPr>
  </w:style>
  <w:style w:type="paragraph" w:customStyle="1" w:styleId="83">
    <w:name w:val="1"/>
    <w:basedOn w:val="1"/>
    <w:next w:val="12"/>
    <w:qFormat/>
    <w:uiPriority w:val="0"/>
    <w:pPr>
      <w:widowControl/>
      <w:ind w:left="722" w:leftChars="58" w:hanging="460" w:hangingChars="200"/>
    </w:pPr>
    <w:rPr>
      <w:iCs/>
      <w:spacing w:val="20"/>
      <w:kern w:val="0"/>
      <w:position w:val="0"/>
    </w:rPr>
  </w:style>
  <w:style w:type="paragraph" w:customStyle="1" w:styleId="84">
    <w:name w:val="Char Char Char1 Char"/>
    <w:basedOn w:val="1"/>
    <w:qFormat/>
    <w:uiPriority w:val="0"/>
    <w:rPr>
      <w:position w:val="0"/>
    </w:rPr>
  </w:style>
  <w:style w:type="table" w:customStyle="1" w:styleId="85">
    <w:name w:val="Table Normal"/>
    <w:unhideWhenUsed/>
    <w:qFormat/>
    <w:uiPriority w:val="0"/>
    <w:tblPr>
      <w:tblCellMar>
        <w:top w:w="0" w:type="dxa"/>
        <w:left w:w="0" w:type="dxa"/>
        <w:bottom w:w="0" w:type="dxa"/>
        <w:right w:w="0" w:type="dxa"/>
      </w:tblCellMar>
    </w:tblPr>
  </w:style>
  <w:style w:type="paragraph" w:customStyle="1" w:styleId="86">
    <w:name w:val="正文_16"/>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7">
    <w:name w:val="正文_17"/>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8">
    <w:name w:val="正文_2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9">
    <w:name w:val="正文_2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0">
    <w:name w:val="正文_24"/>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1">
    <w:name w:val="正文_25"/>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2">
    <w:name w:val="正文_29"/>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3">
    <w:name w:val="正文_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4">
    <w:name w:val="正文_4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5">
    <w:name w:val="正文_42"/>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6">
    <w:name w:val="正文_4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7">
    <w:name w:val="正文_44"/>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8">
    <w:name w:val="正文_45"/>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99">
    <w:name w:val="正文_47"/>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00">
    <w:name w:val="正文_48"/>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01">
    <w:name w:val="正文_6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02">
    <w:name w:val="正文_62"/>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03">
    <w:name w:val="Default"/>
    <w:qFormat/>
    <w:uiPriority w:val="0"/>
    <w:pPr>
      <w:widowControl w:val="0"/>
      <w:autoSpaceDE w:val="0"/>
      <w:autoSpaceDN w:val="0"/>
      <w:adjustRightInd w:val="0"/>
    </w:pPr>
    <w:rPr>
      <w:rFonts w:ascii="宋体" w:hAnsi="Calibri" w:eastAsia="Calibri" w:cs="宋体"/>
      <w:color w:val="000000"/>
      <w:sz w:val="24"/>
      <w:szCs w:val="24"/>
      <w:lang w:val="en-US" w:eastAsia="zh-CN" w:bidi="ar-SA"/>
    </w:rPr>
  </w:style>
  <w:style w:type="paragraph" w:customStyle="1" w:styleId="104">
    <w:name w:val="表中"/>
    <w:basedOn w:val="1"/>
    <w:qFormat/>
    <w:uiPriority w:val="0"/>
    <w:pPr>
      <w:adjustRightInd w:val="0"/>
      <w:spacing w:line="360" w:lineRule="atLeast"/>
      <w:jc w:val="center"/>
      <w:textAlignment w:val="baseline"/>
    </w:pPr>
    <w:rPr>
      <w:kern w:val="0"/>
    </w:rPr>
  </w:style>
  <w:style w:type="paragraph" w:customStyle="1" w:styleId="105">
    <w:name w:val="Table Paragraph"/>
    <w:basedOn w:val="1"/>
    <w:qFormat/>
    <w:uiPriority w:val="1"/>
    <w:rPr>
      <w:rFonts w:ascii="宋体" w:hAnsi="宋体" w:cs="宋体"/>
      <w:lang w:val="zh-CN" w:bidi="zh-CN"/>
    </w:rPr>
  </w:style>
  <w:style w:type="character" w:customStyle="1" w:styleId="106">
    <w:name w:val="fontstyle01"/>
    <w:qFormat/>
    <w:uiPriority w:val="0"/>
    <w:rPr>
      <w:rFonts w:ascii="仿宋_GB2312" w:hAnsi="仿宋_GB2312" w:eastAsia="仿宋_GB2312" w:cs="仿宋_GB2312"/>
      <w:color w:val="000000"/>
      <w:sz w:val="32"/>
      <w:szCs w:val="32"/>
    </w:rPr>
  </w:style>
  <w:style w:type="paragraph" w:customStyle="1" w:styleId="107">
    <w:name w:val="Normal_9"/>
    <w:qFormat/>
    <w:uiPriority w:val="0"/>
    <w:pPr>
      <w:spacing w:before="120" w:after="240"/>
      <w:jc w:val="both"/>
    </w:pPr>
    <w:rPr>
      <w:rFonts w:ascii="Calibri" w:hAnsi="Calibri" w:eastAsia="Calibri" w:cs="Times New Roman"/>
      <w:sz w:val="22"/>
      <w:szCs w:val="22"/>
      <w:lang w:val="en-US" w:eastAsia="en-US" w:bidi="ar-SA"/>
    </w:rPr>
  </w:style>
  <w:style w:type="paragraph" w:customStyle="1" w:styleId="108">
    <w:name w:val="Normal_48"/>
    <w:qFormat/>
    <w:uiPriority w:val="0"/>
    <w:pPr>
      <w:spacing w:before="120" w:after="240"/>
      <w:jc w:val="both"/>
    </w:pPr>
    <w:rPr>
      <w:rFonts w:ascii="Calibri" w:hAnsi="Calibri" w:eastAsia="Calibri" w:cs="Times New Roman"/>
      <w:sz w:val="22"/>
      <w:szCs w:val="22"/>
      <w:lang w:val="en-US" w:eastAsia="en-US" w:bidi="ar-SA"/>
    </w:rPr>
  </w:style>
  <w:style w:type="paragraph" w:customStyle="1" w:styleId="109">
    <w:name w:val="Normal_49"/>
    <w:qFormat/>
    <w:uiPriority w:val="0"/>
    <w:pPr>
      <w:spacing w:before="120" w:after="240"/>
      <w:jc w:val="both"/>
    </w:pPr>
    <w:rPr>
      <w:rFonts w:ascii="Calibri" w:hAnsi="Calibri" w:eastAsia="Calibri" w:cs="Times New Roman"/>
      <w:sz w:val="22"/>
      <w:szCs w:val="22"/>
      <w:lang w:val="en-US" w:eastAsia="en-US" w:bidi="ar-SA"/>
    </w:rPr>
  </w:style>
  <w:style w:type="paragraph" w:customStyle="1" w:styleId="110">
    <w:name w:val="Normal_47"/>
    <w:qFormat/>
    <w:uiPriority w:val="0"/>
    <w:pPr>
      <w:spacing w:before="120" w:after="240"/>
      <w:jc w:val="both"/>
    </w:pPr>
    <w:rPr>
      <w:rFonts w:ascii="Calibri" w:hAnsi="Calibri" w:eastAsia="Calibri" w:cs="Times New Roman"/>
      <w:sz w:val="22"/>
      <w:szCs w:val="22"/>
      <w:lang w:val="en-US" w:eastAsia="en-US" w:bidi="ar-SA"/>
    </w:rPr>
  </w:style>
  <w:style w:type="paragraph" w:customStyle="1" w:styleId="111">
    <w:name w:val="Normal_0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12">
    <w:name w:val="Normal_1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13">
    <w:name w:val="Normal_2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14">
    <w:name w:val="Normal_3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15">
    <w:name w:val="Normal_4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16">
    <w:name w:val="Normal_5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17">
    <w:name w:val="Normal_6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18">
    <w:name w:val="Normal_7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19">
    <w:name w:val="Normal_8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0">
    <w:name w:val="Normal_9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1">
    <w:name w:val="Normal_10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2">
    <w:name w:val="Normal_11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3">
    <w:name w:val="Normal_12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4">
    <w:name w:val="Normal_13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5">
    <w:name w:val="Normal_14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6">
    <w:name w:val="Normal_15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7">
    <w:name w:val="Normal_16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8">
    <w:name w:val="Normal_17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29">
    <w:name w:val="Normal_20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30">
    <w:name w:val="Normal_23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31">
    <w:name w:val="Normal_24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32">
    <w:name w:val="Normal_28_0"/>
    <w:qFormat/>
    <w:uiPriority w:val="0"/>
    <w:pPr>
      <w:spacing w:before="120" w:after="240"/>
      <w:jc w:val="both"/>
    </w:pPr>
    <w:rPr>
      <w:rFonts w:ascii="Calibri" w:hAnsi="Calibri" w:eastAsia="Calibri" w:cs="Times New Roman"/>
      <w:sz w:val="22"/>
      <w:szCs w:val="22"/>
      <w:lang w:val="en-US" w:eastAsia="en-US" w:bidi="ar-SA"/>
    </w:rPr>
  </w:style>
  <w:style w:type="paragraph" w:customStyle="1" w:styleId="133">
    <w:name w:val="6'"/>
    <w:basedOn w:val="1"/>
    <w:qFormat/>
    <w:uiPriority w:val="0"/>
    <w:pPr>
      <w:autoSpaceDE w:val="0"/>
      <w:autoSpaceDN w:val="0"/>
      <w:adjustRightInd w:val="0"/>
      <w:snapToGrid w:val="0"/>
      <w:spacing w:line="320" w:lineRule="exact"/>
      <w:jc w:val="center"/>
      <w:textAlignment w:val="baseline"/>
    </w:pPr>
    <w:rPr>
      <w:spacing w:val="20"/>
      <w:kern w:val="28"/>
    </w:rPr>
  </w:style>
  <w:style w:type="paragraph" w:customStyle="1" w:styleId="134">
    <w:name w:val="Normal_1_1"/>
    <w:qFormat/>
    <w:uiPriority w:val="0"/>
    <w:pPr>
      <w:spacing w:before="120" w:after="240"/>
      <w:jc w:val="both"/>
    </w:pPr>
    <w:rPr>
      <w:rFonts w:ascii="Calibri" w:hAnsi="Calibri" w:eastAsia="Calibri" w:cs="Times New Roman"/>
      <w:sz w:val="22"/>
      <w:szCs w:val="22"/>
      <w:lang w:val="en-US" w:eastAsia="en-US" w:bidi="ar-SA"/>
    </w:rPr>
  </w:style>
  <w:style w:type="character" w:customStyle="1" w:styleId="135">
    <w:name w:val="font161"/>
    <w:qFormat/>
    <w:uiPriority w:val="0"/>
    <w:rPr>
      <w:b/>
      <w:bCs/>
      <w:sz w:val="32"/>
      <w:szCs w:val="32"/>
    </w:rPr>
  </w:style>
  <w:style w:type="character" w:customStyle="1" w:styleId="136">
    <w:name w:val="正文缩进 字符"/>
    <w:link w:val="7"/>
    <w:qFormat/>
    <w:uiPriority w:val="0"/>
    <w:rPr>
      <w:kern w:val="2"/>
      <w:position w:val="-6"/>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2.png"/><Relationship Id="rId24" Type="http://schemas.openxmlformats.org/officeDocument/2006/relationships/image" Target="media/image1.png"/><Relationship Id="rId23" Type="http://schemas.openxmlformats.org/officeDocument/2006/relationships/theme" Target="theme/theme1.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footer" Target="footer6.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header" Target="header7.xml"/><Relationship Id="rId14" Type="http://schemas.openxmlformats.org/officeDocument/2006/relationships/footer" Target="footer5.xml"/><Relationship Id="rId13" Type="http://schemas.openxmlformats.org/officeDocument/2006/relationships/header" Target="header6.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139</Pages>
  <Words>58592</Words>
  <Characters>62359</Characters>
  <Lines>506</Lines>
  <Paragraphs>142</Paragraphs>
  <TotalTime>2</TotalTime>
  <ScaleCrop>false</ScaleCrop>
  <LinksUpToDate>false</LinksUpToDate>
  <CharactersWithSpaces>67430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2023-05-18T08:33:00Z</dcterms:created>
  <dc:creator>tyh</dc:creator>
  <cp:lastModifiedBy>Administrator</cp:lastModifiedBy>
  <cp:lastPrinted>2023-05-11T02:29:00Z</cp:lastPrinted>
  <dcterms:modified xsi:type="dcterms:W3CDTF">2023-05-29T09:17:14Z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08DF22B116E7441083CEEDC45EFAA9BB_13</vt:lpwstr>
  </property>
</Properties>
</file>