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1A5EBD">
      <w:pPr>
        <w:spacing w:line="360" w:lineRule="auto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湖南省</w:t>
      </w:r>
      <w:r>
        <w:rPr>
          <w:rFonts w:hint="eastAsia"/>
          <w:b/>
          <w:sz w:val="44"/>
          <w:szCs w:val="44"/>
          <w:lang w:val="en-US" w:eastAsia="zh-CN"/>
        </w:rPr>
        <w:t>科技进步奖</w:t>
      </w:r>
      <w:r>
        <w:rPr>
          <w:b/>
          <w:sz w:val="44"/>
          <w:szCs w:val="44"/>
        </w:rPr>
        <w:t>提名</w:t>
      </w:r>
      <w:r>
        <w:rPr>
          <w:rFonts w:hint="eastAsia"/>
          <w:b/>
          <w:sz w:val="44"/>
          <w:szCs w:val="44"/>
        </w:rPr>
        <w:t>项目</w:t>
      </w:r>
      <w:r>
        <w:rPr>
          <w:b/>
          <w:sz w:val="44"/>
          <w:szCs w:val="44"/>
        </w:rPr>
        <w:t>公示内容</w:t>
      </w:r>
    </w:p>
    <w:p w14:paraId="180B1074">
      <w:pPr>
        <w:pStyle w:val="8"/>
        <w:numPr>
          <w:ilvl w:val="0"/>
          <w:numId w:val="0"/>
        </w:numPr>
        <w:spacing w:line="540" w:lineRule="exact"/>
        <w:ind w:left="720" w:leftChars="0" w:hanging="720" w:firstLineChars="0"/>
        <w:rPr>
          <w:rFonts w:hint="default" w:asciiTheme="minorHAnsi" w:hAnsiTheme="minorHAnsi" w:eastAsiaTheme="minorEastAsia" w:cstheme="minorBidi"/>
          <w:b/>
          <w:kern w:val="2"/>
          <w:sz w:val="28"/>
          <w:szCs w:val="28"/>
          <w:lang w:val="en-US" w:eastAsia="zh-CN" w:bidi="ar-SA"/>
        </w:rPr>
      </w:pPr>
    </w:p>
    <w:p w14:paraId="0D301462">
      <w:pPr>
        <w:pStyle w:val="8"/>
        <w:numPr>
          <w:ilvl w:val="0"/>
          <w:numId w:val="0"/>
        </w:numPr>
        <w:spacing w:line="540" w:lineRule="exact"/>
        <w:ind w:left="720" w:leftChars="0" w:hanging="720" w:firstLineChars="0"/>
        <w:rPr>
          <w:sz w:val="28"/>
          <w:szCs w:val="28"/>
        </w:rPr>
      </w:pPr>
      <w:r>
        <w:rPr>
          <w:rFonts w:hint="default" w:asciiTheme="minorHAnsi" w:hAnsiTheme="minorHAnsi" w:eastAsiaTheme="minorEastAsia" w:cstheme="minorBidi"/>
          <w:b/>
          <w:kern w:val="2"/>
          <w:sz w:val="28"/>
          <w:szCs w:val="28"/>
          <w:lang w:val="en-US" w:eastAsia="zh-CN" w:bidi="ar-SA"/>
        </w:rPr>
        <w:t>一、</w:t>
      </w:r>
      <w:r>
        <w:rPr>
          <w:b/>
          <w:bCs/>
          <w:sz w:val="28"/>
          <w:szCs w:val="28"/>
        </w:rPr>
        <w:t>项目名称</w:t>
      </w:r>
      <w:r>
        <w:rPr>
          <w:sz w:val="28"/>
          <w:szCs w:val="28"/>
        </w:rPr>
        <w:t>：</w:t>
      </w:r>
      <w:r>
        <w:rPr>
          <w:rFonts w:hint="eastAsia"/>
          <w:sz w:val="28"/>
          <w:szCs w:val="28"/>
        </w:rPr>
        <w:t>生态脆弱区道路边坡生态恢复关键技术研究与应用</w:t>
      </w:r>
    </w:p>
    <w:p w14:paraId="088AB2EC">
      <w:pPr>
        <w:spacing w:line="540" w:lineRule="exac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二、提名者：</w:t>
      </w:r>
      <w:r>
        <w:rPr>
          <w:rFonts w:hint="eastAsia"/>
          <w:sz w:val="28"/>
          <w:szCs w:val="28"/>
          <w:lang w:val="en-US" w:eastAsia="zh-CN"/>
        </w:rPr>
        <w:t>中南林业科技大学</w:t>
      </w:r>
    </w:p>
    <w:p w14:paraId="74F4C2C1">
      <w:pPr>
        <w:spacing w:line="540" w:lineRule="exac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三、</w:t>
      </w:r>
      <w:r>
        <w:rPr>
          <w:rFonts w:hint="eastAsia"/>
          <w:b/>
          <w:bCs/>
          <w:sz w:val="28"/>
          <w:szCs w:val="28"/>
        </w:rPr>
        <w:t>提名等级：</w:t>
      </w:r>
      <w:r>
        <w:rPr>
          <w:rFonts w:hint="eastAsia"/>
          <w:b/>
          <w:bCs/>
          <w:sz w:val="28"/>
          <w:szCs w:val="28"/>
          <w:lang w:eastAsia="zh-CN"/>
        </w:rPr>
        <w:t>二</w:t>
      </w:r>
      <w:r>
        <w:rPr>
          <w:rFonts w:hint="eastAsia"/>
          <w:sz w:val="28"/>
          <w:szCs w:val="28"/>
        </w:rPr>
        <w:t>等奖或</w:t>
      </w:r>
      <w:r>
        <w:rPr>
          <w:rFonts w:hint="eastAsia"/>
          <w:sz w:val="28"/>
          <w:szCs w:val="28"/>
          <w:lang w:eastAsia="zh-CN"/>
        </w:rPr>
        <w:t>三</w:t>
      </w:r>
      <w:r>
        <w:rPr>
          <w:rFonts w:hint="eastAsia"/>
          <w:sz w:val="28"/>
          <w:szCs w:val="28"/>
        </w:rPr>
        <w:t>等奖</w:t>
      </w:r>
    </w:p>
    <w:p w14:paraId="610BDCF9">
      <w:pPr>
        <w:spacing w:line="540" w:lineRule="exact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四、主要知识产权和标准规范等目录</w:t>
      </w:r>
    </w:p>
    <w:tbl>
      <w:tblPr>
        <w:tblStyle w:val="4"/>
        <w:tblW w:w="918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1"/>
        <w:gridCol w:w="1315"/>
        <w:gridCol w:w="853"/>
        <w:gridCol w:w="1173"/>
        <w:gridCol w:w="867"/>
        <w:gridCol w:w="1013"/>
        <w:gridCol w:w="1214"/>
        <w:gridCol w:w="1000"/>
        <w:gridCol w:w="797"/>
      </w:tblGrid>
      <w:tr w14:paraId="1FFCF8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51" w:type="dxa"/>
            <w:vAlign w:val="center"/>
          </w:tcPr>
          <w:p w14:paraId="1F292895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知识产权（标准）类别</w:t>
            </w:r>
          </w:p>
        </w:tc>
        <w:tc>
          <w:tcPr>
            <w:tcW w:w="1315" w:type="dxa"/>
            <w:vAlign w:val="center"/>
          </w:tcPr>
          <w:p w14:paraId="090693BB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知识产权（标准）具体名称</w:t>
            </w:r>
          </w:p>
        </w:tc>
        <w:tc>
          <w:tcPr>
            <w:tcW w:w="853" w:type="dxa"/>
            <w:vAlign w:val="center"/>
          </w:tcPr>
          <w:p w14:paraId="5C5E17DE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国家</w:t>
            </w:r>
          </w:p>
          <w:p w14:paraId="20C67C90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（地区）</w:t>
            </w:r>
          </w:p>
        </w:tc>
        <w:tc>
          <w:tcPr>
            <w:tcW w:w="1173" w:type="dxa"/>
            <w:vAlign w:val="center"/>
          </w:tcPr>
          <w:p w14:paraId="79A55CC7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授权号（标准编号）</w:t>
            </w:r>
          </w:p>
        </w:tc>
        <w:tc>
          <w:tcPr>
            <w:tcW w:w="867" w:type="dxa"/>
            <w:vAlign w:val="center"/>
          </w:tcPr>
          <w:p w14:paraId="57E52E89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授权（标准发布）日期</w:t>
            </w:r>
          </w:p>
        </w:tc>
        <w:tc>
          <w:tcPr>
            <w:tcW w:w="1013" w:type="dxa"/>
            <w:vAlign w:val="center"/>
          </w:tcPr>
          <w:p w14:paraId="0E371B82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证书编号</w:t>
            </w:r>
            <w:r>
              <w:rPr>
                <w:rFonts w:hint="eastAsia" w:ascii="宋体" w:hAnsi="宋体" w:eastAsia="宋体" w:cs="宋体"/>
                <w:sz w:val="21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2"/>
              </w:rPr>
              <w:t>（标准批准发布部门）</w:t>
            </w:r>
          </w:p>
        </w:tc>
        <w:tc>
          <w:tcPr>
            <w:tcW w:w="1214" w:type="dxa"/>
            <w:vAlign w:val="center"/>
          </w:tcPr>
          <w:p w14:paraId="7327069E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权利人（标准起草单位）</w:t>
            </w:r>
          </w:p>
        </w:tc>
        <w:tc>
          <w:tcPr>
            <w:tcW w:w="1000" w:type="dxa"/>
            <w:vAlign w:val="center"/>
          </w:tcPr>
          <w:p w14:paraId="3B35C4AC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发明人（标准起草人）</w:t>
            </w:r>
          </w:p>
        </w:tc>
        <w:tc>
          <w:tcPr>
            <w:tcW w:w="797" w:type="dxa"/>
            <w:vAlign w:val="center"/>
          </w:tcPr>
          <w:p w14:paraId="18C6DC45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宋体" w:hAnsi="宋体" w:eastAsia="宋体" w:cs="宋体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</w:rPr>
              <w:t>发明专利（标准）有效状态</w:t>
            </w:r>
          </w:p>
        </w:tc>
      </w:tr>
      <w:tr w14:paraId="417A88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2" w:hRule="atLeast"/>
          <w:jc w:val="center"/>
        </w:trPr>
        <w:tc>
          <w:tcPr>
            <w:tcW w:w="951" w:type="dxa"/>
            <w:vAlign w:val="top"/>
          </w:tcPr>
          <w:p w14:paraId="45CBB5E8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01FCA57">
            <w:pPr>
              <w:spacing w:before="72" w:after="0"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69F26EB6">
            <w:pPr>
              <w:spacing w:before="0" w:after="0" w:line="196" w:lineRule="auto"/>
              <w:ind w:left="142" w:leftChars="0" w:right="94" w:rightChars="0" w:firstLine="20" w:firstLine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一种煤矸石边坡浅层加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固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与生态恢复的方法</w:t>
            </w:r>
          </w:p>
        </w:tc>
        <w:tc>
          <w:tcPr>
            <w:tcW w:w="853" w:type="dxa"/>
            <w:vAlign w:val="top"/>
          </w:tcPr>
          <w:p w14:paraId="3A4FDD8D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447D0BDD">
            <w:pPr>
              <w:spacing w:before="72" w:after="0" w:line="240" w:lineRule="auto"/>
              <w:ind w:firstLine="165" w:firstLine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2578B015">
            <w:pPr>
              <w:spacing w:before="0" w:after="0" w:line="230" w:lineRule="auto"/>
              <w:jc w:val="left"/>
              <w:rPr>
                <w:rFonts w:hint="default" w:ascii="Times New Roman" w:hAnsi="Times New Roman" w:cs="Times New Roman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</w:p>
          <w:p w14:paraId="24B23EEB">
            <w:pPr>
              <w:spacing w:before="0" w:after="0" w:line="206" w:lineRule="auto"/>
              <w:jc w:val="left"/>
              <w:rPr>
                <w:rFonts w:hint="default" w:ascii="Times New Roman" w:hAnsi="Times New Roman" w:cs="Times New Roman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2021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</w:p>
          <w:p w14:paraId="264F27F3">
            <w:pPr>
              <w:spacing w:before="0" w:after="0" w:line="201" w:lineRule="auto"/>
              <w:ind w:right="151" w:right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0696819.6</w:t>
            </w:r>
          </w:p>
        </w:tc>
        <w:tc>
          <w:tcPr>
            <w:tcW w:w="867" w:type="dxa"/>
            <w:vAlign w:val="top"/>
          </w:tcPr>
          <w:p w14:paraId="751CD583">
            <w:pPr>
              <w:spacing w:before="0" w:after="0" w:line="230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2022年</w:t>
            </w:r>
          </w:p>
          <w:p w14:paraId="7DE684F8">
            <w:pPr>
              <w:spacing w:before="0" w:after="0" w:line="23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09月20日</w:t>
            </w:r>
          </w:p>
        </w:tc>
        <w:tc>
          <w:tcPr>
            <w:tcW w:w="1013" w:type="dxa"/>
            <w:vAlign w:val="top"/>
          </w:tcPr>
          <w:p w14:paraId="6AA7B1F8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1940A61">
            <w:pPr>
              <w:spacing w:before="0" w:after="0" w:line="201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5466462(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7F654213">
            <w:pPr>
              <w:spacing w:before="0" w:after="0" w:line="201" w:lineRule="auto"/>
              <w:ind w:right="104" w:right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4B075BF3">
            <w:pPr>
              <w:spacing w:before="0" w:after="0" w:line="201" w:lineRule="auto"/>
              <w:jc w:val="left"/>
              <w:rPr>
                <w:rFonts w:hint="default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/>
                <w:color w:val="000000"/>
                <w:sz w:val="21"/>
                <w:lang w:val="en-US" w:eastAsia="zh-CN"/>
              </w:rPr>
              <w:t>易文;张建;袁伟嘉;鲁云岗;罗志文;尹鹏;邓亮</w:t>
            </w:r>
          </w:p>
        </w:tc>
        <w:tc>
          <w:tcPr>
            <w:tcW w:w="797" w:type="dxa"/>
            <w:vAlign w:val="top"/>
          </w:tcPr>
          <w:p w14:paraId="2BBD6F72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5AEE9C17">
            <w:pPr>
              <w:spacing w:before="0" w:after="0" w:line="201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62BD2C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top"/>
          </w:tcPr>
          <w:p w14:paraId="1A063A81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0D49D9E">
            <w:pPr>
              <w:spacing w:before="112" w:after="0"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1C7C3658">
            <w:pPr>
              <w:bidi w:val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一种装配式岩土体边坡原位直剪试验装置及方法</w:t>
            </w:r>
          </w:p>
        </w:tc>
        <w:tc>
          <w:tcPr>
            <w:tcW w:w="853" w:type="dxa"/>
            <w:vAlign w:val="top"/>
          </w:tcPr>
          <w:p w14:paraId="57AC0255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21E8F77C">
            <w:pPr>
              <w:spacing w:before="112" w:after="0" w:line="240" w:lineRule="auto"/>
              <w:ind w:firstLine="145" w:firstLine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423B3A24">
            <w:pPr>
              <w:spacing w:before="12" w:after="0" w:line="240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</w:p>
          <w:p w14:paraId="2A0E3E85">
            <w:pPr>
              <w:spacing w:before="12" w:after="0"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2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0272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8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95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.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X</w:t>
            </w:r>
          </w:p>
        </w:tc>
        <w:tc>
          <w:tcPr>
            <w:tcW w:w="867" w:type="dxa"/>
            <w:vAlign w:val="top"/>
          </w:tcPr>
          <w:p w14:paraId="7062C34D">
            <w:pPr>
              <w:spacing w:before="0" w:after="0" w:line="230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2023年</w:t>
            </w:r>
          </w:p>
          <w:p w14:paraId="54A2F9CF">
            <w:pPr>
              <w:spacing w:before="0" w:after="0" w:line="23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06月09日</w:t>
            </w:r>
          </w:p>
        </w:tc>
        <w:tc>
          <w:tcPr>
            <w:tcW w:w="1013" w:type="dxa"/>
            <w:vAlign w:val="top"/>
          </w:tcPr>
          <w:p w14:paraId="2CC483F4">
            <w:pPr>
              <w:spacing w:before="14" w:after="0" w:line="216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6035577(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5F9BC461">
            <w:pPr>
              <w:spacing w:before="14" w:after="0" w:line="216" w:lineRule="auto"/>
              <w:ind w:right="104" w:rightChars="0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71848E5E">
            <w:pPr>
              <w:spacing w:before="114" w:after="0" w:line="216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易文，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眭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子凡.刘益芳，鲁云岗</w:t>
            </w:r>
            <w:r>
              <w:rPr>
                <w:rFonts w:hint="eastAsia" w:ascii="宋体" w:hAnsi="宋体"/>
                <w:color w:val="000000"/>
                <w:sz w:val="21"/>
                <w:lang w:val="en-US" w:eastAsia="zh-CN"/>
              </w:rPr>
              <w:t>,邓亮</w:t>
            </w:r>
          </w:p>
        </w:tc>
        <w:tc>
          <w:tcPr>
            <w:tcW w:w="797" w:type="dxa"/>
            <w:vAlign w:val="top"/>
          </w:tcPr>
          <w:p w14:paraId="1CB9AC86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4C3F502E">
            <w:pPr>
              <w:spacing w:before="14" w:after="0" w:line="216" w:lineRule="auto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46E0397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top"/>
          </w:tcPr>
          <w:p w14:paraId="65003EE1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7FD9AAC1">
            <w:pPr>
              <w:spacing w:before="92" w:after="0" w:line="24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70C79960">
            <w:pPr>
              <w:spacing w:before="0" w:after="0" w:line="204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一种生态护坡单元及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其组成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的生态护坡结构</w:t>
            </w:r>
          </w:p>
        </w:tc>
        <w:tc>
          <w:tcPr>
            <w:tcW w:w="853" w:type="dxa"/>
            <w:vAlign w:val="top"/>
          </w:tcPr>
          <w:p w14:paraId="11D68D5E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F761729">
            <w:pPr>
              <w:spacing w:before="154" w:after="0" w:line="240" w:lineRule="auto"/>
              <w:ind w:firstLine="12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0697C420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</w:p>
          <w:p w14:paraId="4709B870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9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</w:p>
          <w:p w14:paraId="795D6C49">
            <w:pPr>
              <w:spacing w:before="0" w:after="0" w:line="201" w:lineRule="auto"/>
              <w:jc w:val="left"/>
              <w:rPr>
                <w:rFonts w:hint="default" w:ascii="Times New Roman" w:hAnsi="Times New Roman" w:cs="Times New Roman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074316</w:t>
            </w:r>
          </w:p>
          <w:p w14:paraId="23F40D18">
            <w:pPr>
              <w:spacing w:before="0" w:after="0" w:line="19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3.1</w:t>
            </w:r>
          </w:p>
        </w:tc>
        <w:tc>
          <w:tcPr>
            <w:tcW w:w="867" w:type="dxa"/>
            <w:vAlign w:val="top"/>
          </w:tcPr>
          <w:p w14:paraId="2DC7868A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2021年03月12日</w:t>
            </w:r>
          </w:p>
        </w:tc>
        <w:tc>
          <w:tcPr>
            <w:tcW w:w="1013" w:type="dxa"/>
            <w:vAlign w:val="top"/>
          </w:tcPr>
          <w:p w14:paraId="4F991B61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4295567(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346BBEFA">
            <w:pPr>
              <w:spacing w:before="0" w:after="0" w:line="211" w:lineRule="auto"/>
              <w:ind w:right="104" w:right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7CD6F0E5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F7F0193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易文，姚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永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胜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眭子凡</w:t>
            </w:r>
          </w:p>
        </w:tc>
        <w:tc>
          <w:tcPr>
            <w:tcW w:w="797" w:type="dxa"/>
            <w:vAlign w:val="top"/>
          </w:tcPr>
          <w:p w14:paraId="0F6A744D">
            <w:pPr>
              <w:spacing w:before="0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0231669C">
            <w:pPr>
              <w:spacing w:before="0" w:after="0" w:line="216" w:lineRule="auto"/>
              <w:jc w:val="left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未缴费失效的</w:t>
            </w:r>
          </w:p>
          <w:p w14:paraId="3EC919BC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专利</w:t>
            </w:r>
          </w:p>
        </w:tc>
      </w:tr>
      <w:tr w14:paraId="59C31F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51" w:type="dxa"/>
            <w:vAlign w:val="top"/>
          </w:tcPr>
          <w:p w14:paraId="1F0F1D46">
            <w:pPr>
              <w:spacing w:before="92" w:after="0" w:line="24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651D0689">
            <w:pPr>
              <w:spacing w:before="0" w:after="0" w:line="204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一种膨胀土边坡滑坍防治的生态护坡结构及施工方法</w:t>
            </w:r>
          </w:p>
        </w:tc>
        <w:tc>
          <w:tcPr>
            <w:tcW w:w="853" w:type="dxa"/>
            <w:vAlign w:val="top"/>
          </w:tcPr>
          <w:p w14:paraId="23EE6D0F">
            <w:pPr>
              <w:spacing w:before="154" w:after="0" w:line="240" w:lineRule="auto"/>
              <w:ind w:firstLine="12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13718D0C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</w:p>
          <w:p w14:paraId="3E35F120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9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</w:p>
          <w:p w14:paraId="79C26C2E">
            <w:pPr>
              <w:spacing w:before="0" w:after="0" w:line="201" w:lineRule="auto"/>
              <w:jc w:val="left"/>
              <w:rPr>
                <w:rFonts w:hint="default" w:ascii="Times New Roman" w:hAnsi="Times New Roman" w:cs="Times New Roman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4864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6</w:t>
            </w:r>
          </w:p>
          <w:p w14:paraId="6450A162">
            <w:pPr>
              <w:spacing w:before="0" w:after="0" w:line="191" w:lineRule="auto"/>
              <w:jc w:val="left"/>
              <w:rPr>
                <w:rFonts w:hint="eastAsia" w:ascii="Times New Roman" w:hAnsi="Times New Roman" w:eastAsia="宋体" w:cs="Times New Roman"/>
                <w:color w:val="000000"/>
                <w:sz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5</w:t>
            </w:r>
          </w:p>
        </w:tc>
        <w:tc>
          <w:tcPr>
            <w:tcW w:w="867" w:type="dxa"/>
            <w:vAlign w:val="top"/>
          </w:tcPr>
          <w:p w14:paraId="7767E56B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2021年0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7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月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日</w:t>
            </w:r>
          </w:p>
        </w:tc>
        <w:tc>
          <w:tcPr>
            <w:tcW w:w="1013" w:type="dxa"/>
            <w:vAlign w:val="top"/>
          </w:tcPr>
          <w:p w14:paraId="6A810AE1">
            <w:pPr>
              <w:spacing w:before="0" w:after="0" w:line="211" w:lineRule="auto"/>
              <w:jc w:val="left"/>
              <w:rPr>
                <w:rFonts w:hint="default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4558892(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3DFAF79F">
            <w:pPr>
              <w:spacing w:before="0" w:after="0" w:line="211" w:lineRule="auto"/>
              <w:ind w:left="153" w:leftChars="0" w:right="104" w:rightChars="0" w:firstLine="0" w:firstLineChars="0"/>
              <w:jc w:val="left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，中国铁路成都局集团有限公司重庆铁路枢纽东环线指挥部</w:t>
            </w:r>
          </w:p>
        </w:tc>
        <w:tc>
          <w:tcPr>
            <w:tcW w:w="1000" w:type="dxa"/>
            <w:vAlign w:val="top"/>
          </w:tcPr>
          <w:p w14:paraId="25076261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江学良，张继琪，宁思远，王聚山，李涛，肖宏彬，尹健</w:t>
            </w:r>
          </w:p>
        </w:tc>
        <w:tc>
          <w:tcPr>
            <w:tcW w:w="797" w:type="dxa"/>
            <w:vAlign w:val="top"/>
          </w:tcPr>
          <w:p w14:paraId="57BF55EA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1B6682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top"/>
          </w:tcPr>
          <w:p w14:paraId="08836024">
            <w:pPr>
              <w:spacing w:before="92" w:after="0" w:line="24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6D159569">
            <w:pPr>
              <w:spacing w:before="0" w:after="0" w:line="204" w:lineRule="auto"/>
              <w:ind w:left="162" w:leftChars="0" w:right="94" w:rightChars="0" w:firstLine="0" w:firstLineChars="0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坡地植物构型调控系统与方法</w:t>
            </w:r>
          </w:p>
        </w:tc>
        <w:tc>
          <w:tcPr>
            <w:tcW w:w="853" w:type="dxa"/>
            <w:vAlign w:val="top"/>
          </w:tcPr>
          <w:p w14:paraId="1FA01DB8">
            <w:pPr>
              <w:spacing w:before="154" w:after="0" w:line="240" w:lineRule="auto"/>
              <w:ind w:firstLine="12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7606AC45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</w:p>
          <w:p w14:paraId="77BC1747">
            <w:pPr>
              <w:spacing w:before="0" w:after="0" w:line="20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20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</w:p>
          <w:p w14:paraId="1FDF7328">
            <w:pPr>
              <w:spacing w:before="0" w:after="0" w:line="201" w:lineRule="auto"/>
              <w:jc w:val="left"/>
              <w:rPr>
                <w:rFonts w:hint="eastAsia" w:ascii="Times New Roman" w:hAnsi="Times New Roman" w:eastAsia="宋体" w:cs="Times New Roman"/>
                <w:color w:val="000000"/>
                <w:sz w:val="21"/>
                <w:lang w:eastAsia="zh-CN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07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72782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6</w:t>
            </w:r>
          </w:p>
        </w:tc>
        <w:tc>
          <w:tcPr>
            <w:tcW w:w="867" w:type="dxa"/>
            <w:vAlign w:val="top"/>
          </w:tcPr>
          <w:p w14:paraId="2143C7D7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年0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6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月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日</w:t>
            </w:r>
          </w:p>
        </w:tc>
        <w:tc>
          <w:tcPr>
            <w:tcW w:w="1013" w:type="dxa"/>
            <w:vAlign w:val="top"/>
          </w:tcPr>
          <w:p w14:paraId="6AED4F65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5256251(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32B94D45">
            <w:pPr>
              <w:spacing w:before="0" w:after="0" w:line="211" w:lineRule="auto"/>
              <w:ind w:left="153" w:leftChars="0" w:right="104" w:rightChars="0" w:firstLine="0" w:firstLineChars="0"/>
              <w:jc w:val="left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，中国铁路成都局集团有限公司重庆铁路枢纽东环线指挥部</w:t>
            </w:r>
          </w:p>
        </w:tc>
        <w:tc>
          <w:tcPr>
            <w:tcW w:w="1000" w:type="dxa"/>
            <w:vAlign w:val="top"/>
          </w:tcPr>
          <w:p w14:paraId="5258C33F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李珍玉，欧阳淼，肖宏彬，宁思远，王聚山，李涛，刘思思</w:t>
            </w:r>
          </w:p>
        </w:tc>
        <w:tc>
          <w:tcPr>
            <w:tcW w:w="797" w:type="dxa"/>
            <w:vAlign w:val="top"/>
          </w:tcPr>
          <w:p w14:paraId="51D25EA0">
            <w:pPr>
              <w:spacing w:before="0" w:after="0" w:line="216" w:lineRule="auto"/>
              <w:jc w:val="left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未缴费失效的</w:t>
            </w:r>
          </w:p>
          <w:p w14:paraId="0D19D37B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专利</w:t>
            </w:r>
          </w:p>
        </w:tc>
      </w:tr>
      <w:tr w14:paraId="04C0D1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  <w:jc w:val="center"/>
        </w:trPr>
        <w:tc>
          <w:tcPr>
            <w:tcW w:w="951" w:type="dxa"/>
            <w:vAlign w:val="top"/>
          </w:tcPr>
          <w:p w14:paraId="60BE0EF3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5A18136B">
            <w:pPr>
              <w:spacing w:before="92" w:after="0" w:line="24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04580CF3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64243B1A">
            <w:pPr>
              <w:spacing w:before="0" w:after="0" w:line="23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一种毛竹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锚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杆及其施工方法</w:t>
            </w:r>
          </w:p>
        </w:tc>
        <w:tc>
          <w:tcPr>
            <w:tcW w:w="853" w:type="dxa"/>
            <w:vAlign w:val="top"/>
          </w:tcPr>
          <w:p w14:paraId="2A7D1DAD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AEB72DC">
            <w:pPr>
              <w:spacing w:before="92" w:after="0" w:line="240" w:lineRule="auto"/>
              <w:ind w:firstLine="14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57244A1F">
            <w:pPr>
              <w:spacing w:before="0" w:after="0" w:line="240" w:lineRule="auto"/>
              <w:jc w:val="left"/>
              <w:rPr>
                <w:rFonts w:hint="default" w:ascii="Times New Roman" w:hAnsi="Times New Roman" w:cs="Times New Roman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2018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118432</w:t>
            </w:r>
          </w:p>
          <w:p w14:paraId="7101A03B">
            <w:pPr>
              <w:spacing w:before="0" w:after="0" w:line="19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0.1</w:t>
            </w:r>
          </w:p>
        </w:tc>
        <w:tc>
          <w:tcPr>
            <w:tcW w:w="867" w:type="dxa"/>
            <w:vAlign w:val="top"/>
          </w:tcPr>
          <w:p w14:paraId="52F79BBD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2023年11月07日</w:t>
            </w:r>
          </w:p>
        </w:tc>
        <w:tc>
          <w:tcPr>
            <w:tcW w:w="1013" w:type="dxa"/>
            <w:vAlign w:val="top"/>
          </w:tcPr>
          <w:p w14:paraId="54A291F6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6464545</w:t>
            </w:r>
          </w:p>
          <w:p w14:paraId="1227E060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（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739C0EE6">
            <w:pPr>
              <w:spacing w:before="239" w:after="0" w:line="216" w:lineRule="auto"/>
              <w:ind w:right="104" w:rightChars="0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5B711F3D">
            <w:pPr>
              <w:spacing w:before="40" w:after="0" w:line="230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江学良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赵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富发，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杨慧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石洪涛</w:t>
            </w:r>
          </w:p>
        </w:tc>
        <w:tc>
          <w:tcPr>
            <w:tcW w:w="797" w:type="dxa"/>
            <w:vAlign w:val="top"/>
          </w:tcPr>
          <w:p w14:paraId="6C290928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73D0E632">
            <w:pPr>
              <w:spacing w:before="0" w:after="0" w:line="19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18043C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951" w:type="dxa"/>
            <w:vAlign w:val="top"/>
          </w:tcPr>
          <w:p w14:paraId="12D5B3C8">
            <w:pPr>
              <w:spacing w:before="22" w:after="0" w:line="240" w:lineRule="auto"/>
              <w:jc w:val="left"/>
              <w:rPr>
                <w:rFonts w:hint="eastAsia" w:eastAsia="宋体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利</w:t>
            </w:r>
          </w:p>
          <w:p w14:paraId="1838B28E">
            <w:pPr>
              <w:spacing w:before="10" w:after="0" w:line="240" w:lineRule="auto"/>
              <w:ind w:firstLine="240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</w:tc>
        <w:tc>
          <w:tcPr>
            <w:tcW w:w="1315" w:type="dxa"/>
            <w:vAlign w:val="top"/>
          </w:tcPr>
          <w:p w14:paraId="4F8888FC">
            <w:pPr>
              <w:spacing w:before="0" w:after="0" w:line="191" w:lineRule="auto"/>
              <w:ind w:firstLine="142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一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种群桩基础桩土荷载分担比的测试方法</w:t>
            </w:r>
          </w:p>
        </w:tc>
        <w:tc>
          <w:tcPr>
            <w:tcW w:w="853" w:type="dxa"/>
            <w:vAlign w:val="top"/>
          </w:tcPr>
          <w:p w14:paraId="177F442D">
            <w:pPr>
              <w:spacing w:before="10" w:after="0" w:line="240" w:lineRule="auto"/>
              <w:ind w:firstLine="16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626E40DF">
            <w:pPr>
              <w:spacing w:before="0" w:after="0" w:line="206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 2018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0300789.0</w:t>
            </w:r>
          </w:p>
        </w:tc>
        <w:tc>
          <w:tcPr>
            <w:tcW w:w="867" w:type="dxa"/>
            <w:vAlign w:val="top"/>
          </w:tcPr>
          <w:p w14:paraId="3AAAF2DC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0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年0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月2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日</w:t>
            </w:r>
          </w:p>
        </w:tc>
        <w:tc>
          <w:tcPr>
            <w:tcW w:w="1013" w:type="dxa"/>
            <w:vAlign w:val="top"/>
          </w:tcPr>
          <w:p w14:paraId="1EC4EF22">
            <w:pPr>
              <w:spacing w:before="169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3762843（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）</w:t>
            </w:r>
          </w:p>
        </w:tc>
        <w:tc>
          <w:tcPr>
            <w:tcW w:w="1214" w:type="dxa"/>
            <w:vAlign w:val="top"/>
          </w:tcPr>
          <w:p w14:paraId="5D31BF03">
            <w:pPr>
              <w:spacing w:before="0" w:after="0" w:line="19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63404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right="0" w:rightChars="0"/>
              <w:jc w:val="left"/>
              <w:textAlignment w:val="auto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 w:cstheme="minorBidi"/>
                <w:color w:val="000000"/>
                <w:sz w:val="21"/>
              </w:rPr>
              <w:t>杨慧;江学良;石洪涛;赵富发</w:t>
            </w:r>
          </w:p>
        </w:tc>
        <w:tc>
          <w:tcPr>
            <w:tcW w:w="797" w:type="dxa"/>
            <w:vAlign w:val="top"/>
          </w:tcPr>
          <w:p w14:paraId="1819BB59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616575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top"/>
          </w:tcPr>
          <w:p w14:paraId="59545299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26D1E3EB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6EFB6618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发明专利</w:t>
            </w:r>
          </w:p>
        </w:tc>
        <w:tc>
          <w:tcPr>
            <w:tcW w:w="1315" w:type="dxa"/>
            <w:vAlign w:val="top"/>
          </w:tcPr>
          <w:p w14:paraId="1760F975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20EA0E03">
            <w:pPr>
              <w:spacing w:before="0" w:after="0" w:line="21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一种多点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锚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固机械式可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回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收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锚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杆装置</w:t>
            </w:r>
          </w:p>
        </w:tc>
        <w:tc>
          <w:tcPr>
            <w:tcW w:w="853" w:type="dxa"/>
            <w:vAlign w:val="top"/>
          </w:tcPr>
          <w:p w14:paraId="6D5FE200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2FAFC606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64E5EA86">
            <w:pPr>
              <w:spacing w:before="0" w:after="0" w:line="211" w:lineRule="auto"/>
              <w:ind w:firstLine="145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中国</w:t>
            </w:r>
          </w:p>
        </w:tc>
        <w:tc>
          <w:tcPr>
            <w:tcW w:w="1173" w:type="dxa"/>
            <w:vAlign w:val="top"/>
          </w:tcPr>
          <w:p w14:paraId="2A9DFEE4">
            <w:pPr>
              <w:spacing w:before="0" w:after="0" w:line="19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</w:p>
          <w:p w14:paraId="3CBC2852">
            <w:pPr>
              <w:spacing w:before="0" w:after="0" w:line="19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ZL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2020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015196</w:t>
            </w:r>
          </w:p>
          <w:p w14:paraId="717CF02D">
            <w:pPr>
              <w:spacing w:before="0" w:after="0" w:line="191" w:lineRule="auto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5.6</w:t>
            </w:r>
          </w:p>
        </w:tc>
        <w:tc>
          <w:tcPr>
            <w:tcW w:w="867" w:type="dxa"/>
            <w:vAlign w:val="top"/>
          </w:tcPr>
          <w:p w14:paraId="5262A8C9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</w:p>
          <w:p w14:paraId="589CE13A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2023年12月3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日</w:t>
            </w:r>
          </w:p>
        </w:tc>
        <w:tc>
          <w:tcPr>
            <w:tcW w:w="1013" w:type="dxa"/>
            <w:vAlign w:val="top"/>
          </w:tcPr>
          <w:p w14:paraId="07167ABC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4953091">
            <w:pPr>
              <w:spacing w:before="114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5112247(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国家知识产权局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)</w:t>
            </w:r>
          </w:p>
        </w:tc>
        <w:tc>
          <w:tcPr>
            <w:tcW w:w="1214" w:type="dxa"/>
            <w:vAlign w:val="top"/>
          </w:tcPr>
          <w:p w14:paraId="1616B3E1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28A1393D">
            <w:pPr>
              <w:spacing w:before="114" w:after="0" w:line="216" w:lineRule="auto"/>
              <w:ind w:right="84" w:right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24945031">
            <w:pPr>
              <w:spacing w:before="0" w:after="0" w:line="240" w:lineRule="auto"/>
              <w:jc w:val="left"/>
              <w:rPr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江学良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刘文杰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吕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伟军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杨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慧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钱</w:t>
            </w:r>
          </w:p>
          <w:p w14:paraId="078C33AD">
            <w:pPr>
              <w:spacing w:before="0" w:after="0" w:line="19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永辉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朱颖波</w:t>
            </w:r>
          </w:p>
        </w:tc>
        <w:tc>
          <w:tcPr>
            <w:tcW w:w="797" w:type="dxa"/>
            <w:vAlign w:val="top"/>
          </w:tcPr>
          <w:p w14:paraId="62026665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0C809125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5BD2ACF8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有效专利</w:t>
            </w:r>
          </w:p>
        </w:tc>
      </w:tr>
      <w:tr w14:paraId="0E5EB6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center"/>
          </w:tcPr>
          <w:p w14:paraId="325BE51F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Times New Roman"/>
                <w:sz w:val="18"/>
                <w:szCs w:val="18"/>
                <w:lang w:val="en-US" w:eastAsia="zh-CN"/>
              </w:rPr>
              <w:t>论文</w:t>
            </w:r>
          </w:p>
        </w:tc>
        <w:tc>
          <w:tcPr>
            <w:tcW w:w="1315" w:type="dxa"/>
            <w:vAlign w:val="top"/>
          </w:tcPr>
          <w:p w14:paraId="6A7446AC">
            <w:pPr>
              <w:spacing w:before="0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南宁膨胀土非线性流变模型研究</w:t>
            </w:r>
          </w:p>
          <w:p w14:paraId="58A80B54">
            <w:pPr>
              <w:spacing w:before="0" w:after="0" w:line="211" w:lineRule="auto"/>
              <w:ind w:firstLine="162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</w:tc>
        <w:tc>
          <w:tcPr>
            <w:tcW w:w="853" w:type="dxa"/>
            <w:vAlign w:val="top"/>
          </w:tcPr>
          <w:p w14:paraId="187D3507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45A24186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38EEEF52">
            <w:pPr>
              <w:spacing w:before="0" w:after="0" w:line="191" w:lineRule="auto"/>
              <w:ind w:firstLine="145" w:firstLineChars="0"/>
              <w:jc w:val="left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中国</w:t>
            </w:r>
          </w:p>
        </w:tc>
        <w:tc>
          <w:tcPr>
            <w:tcW w:w="1173" w:type="dxa"/>
            <w:vAlign w:val="top"/>
          </w:tcPr>
          <w:p w14:paraId="1954D180">
            <w:pPr>
              <w:spacing w:before="0" w:after="0" w:line="191" w:lineRule="auto"/>
              <w:ind w:left="127" w:right="191" w:firstLine="0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</w:p>
          <w:p w14:paraId="07EC44E2">
            <w:pPr>
              <w:spacing w:before="0" w:after="0" w:line="191" w:lineRule="auto"/>
              <w:ind w:left="127" w:right="191" w:firstLine="0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</w:p>
          <w:p w14:paraId="7A52534D">
            <w:pPr>
              <w:spacing w:before="0" w:after="0" w:line="191" w:lineRule="auto"/>
              <w:ind w:right="191" w:rightChars="0"/>
              <w:jc w:val="left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2021.42(12)</w:t>
            </w:r>
            <w:r>
              <w:rPr>
                <w:rFonts w:hint="eastAsia" w:eastAsia="宋体" w:cs="Times New Roman"/>
                <w:color w:val="000000"/>
                <w:sz w:val="21"/>
                <w:lang w:eastAsia="zh-CN"/>
              </w:rPr>
              <w:t>：</w:t>
            </w:r>
            <w:r>
              <w:rPr>
                <w:rFonts w:hint="eastAsia" w:eastAsia="宋体" w:cs="Times New Roman"/>
                <w:color w:val="000000"/>
                <w:sz w:val="21"/>
                <w:lang w:val="en-US" w:eastAsia="zh-CN"/>
              </w:rPr>
              <w:t>2297-2302</w:t>
            </w:r>
          </w:p>
        </w:tc>
        <w:tc>
          <w:tcPr>
            <w:tcW w:w="867" w:type="dxa"/>
            <w:vAlign w:val="top"/>
          </w:tcPr>
          <w:p w14:paraId="3895CB35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</w:p>
          <w:p w14:paraId="016A8AD4">
            <w:pPr>
              <w:spacing w:before="0" w:after="0" w:line="230" w:lineRule="auto"/>
              <w:jc w:val="left"/>
              <w:rPr>
                <w:rFonts w:hint="eastAsia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2012</w:t>
            </w:r>
            <w:r>
              <w:rPr>
                <w:rFonts w:hint="eastAsia" w:eastAsia="宋体" w:cs="Times New Roman"/>
                <w:color w:val="000000"/>
                <w:sz w:val="21"/>
                <w:lang w:eastAsia="zh-CN"/>
              </w:rPr>
              <w:t>年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08</w:t>
            </w:r>
            <w:r>
              <w:rPr>
                <w:rFonts w:hint="eastAsia" w:eastAsia="宋体" w:cs="Times New Roman"/>
                <w:color w:val="000000"/>
                <w:sz w:val="21"/>
                <w:lang w:eastAsia="zh-CN"/>
              </w:rPr>
              <w:t>月</w:t>
            </w:r>
            <w:r>
              <w:rPr>
                <w:rFonts w:hint="default" w:ascii="Times New Roman" w:hAnsi="Times New Roman" w:eastAsia="Calibri" w:cs="Times New Roman"/>
                <w:color w:val="000000"/>
                <w:sz w:val="21"/>
              </w:rPr>
              <w:t>24</w:t>
            </w:r>
            <w:r>
              <w:rPr>
                <w:rFonts w:hint="eastAsia" w:eastAsia="宋体" w:cs="Times New Roman"/>
                <w:color w:val="000000"/>
                <w:sz w:val="21"/>
                <w:lang w:eastAsia="zh-CN"/>
              </w:rPr>
              <w:t>日</w:t>
            </w:r>
          </w:p>
        </w:tc>
        <w:tc>
          <w:tcPr>
            <w:tcW w:w="1013" w:type="dxa"/>
            <w:vAlign w:val="top"/>
          </w:tcPr>
          <w:p w14:paraId="35A297C4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5DB976EC">
            <w:pPr>
              <w:spacing w:before="0" w:after="0" w:line="191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1207B459">
            <w:pPr>
              <w:spacing w:before="0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lang w:val="en-US" w:eastAsia="zh-CN"/>
              </w:rPr>
              <w:t>岩土力学</w:t>
            </w:r>
          </w:p>
          <w:p w14:paraId="3B64596D">
            <w:pPr>
              <w:spacing w:before="74" w:after="0" w:line="216" w:lineRule="auto"/>
              <w:ind w:left="153" w:leftChars="0" w:right="84" w:rightChars="0" w:firstLine="0" w:firstLine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</w:tc>
        <w:tc>
          <w:tcPr>
            <w:tcW w:w="1214" w:type="dxa"/>
            <w:vAlign w:val="top"/>
          </w:tcPr>
          <w:p w14:paraId="4CC93B1F">
            <w:pPr>
              <w:spacing w:before="74" w:after="0" w:line="216" w:lineRule="auto"/>
              <w:ind w:right="84" w:rightChars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top"/>
          </w:tcPr>
          <w:p w14:paraId="2DA6E306">
            <w:pPr>
              <w:spacing w:before="0" w:after="0" w:line="196" w:lineRule="auto"/>
              <w:jc w:val="both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李珍玉</w:t>
            </w:r>
            <w:r>
              <w:rPr>
                <w:rFonts w:hint="eastAsia" w:ascii="宋体" w:hAnsi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肖宏彬</w:t>
            </w:r>
            <w:r>
              <w:rPr>
                <w:rFonts w:hint="eastAsia" w:ascii="宋体" w:hAnsi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金文婷</w:t>
            </w:r>
            <w:r>
              <w:rPr>
                <w:rFonts w:hint="eastAsia" w:ascii="宋体" w:hAnsi="宋体"/>
                <w:color w:val="000000"/>
                <w:sz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color w:val="000000"/>
                <w:sz w:val="21"/>
              </w:rPr>
              <w:t>易文</w:t>
            </w:r>
          </w:p>
        </w:tc>
        <w:tc>
          <w:tcPr>
            <w:tcW w:w="797" w:type="dxa"/>
            <w:vAlign w:val="top"/>
          </w:tcPr>
          <w:p w14:paraId="17A5C368">
            <w:pPr>
              <w:wordWrap w:val="0"/>
              <w:spacing w:before="0" w:after="0" w:line="216" w:lineRule="auto"/>
              <w:ind w:firstLine="0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</w:p>
          <w:p w14:paraId="308BDD51">
            <w:pPr>
              <w:spacing w:before="0" w:after="0" w:line="19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其他知识产权</w:t>
            </w:r>
          </w:p>
        </w:tc>
      </w:tr>
      <w:tr w14:paraId="47FB31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atLeast"/>
          <w:jc w:val="center"/>
        </w:trPr>
        <w:tc>
          <w:tcPr>
            <w:tcW w:w="951" w:type="dxa"/>
            <w:vAlign w:val="center"/>
          </w:tcPr>
          <w:p w14:paraId="1807CBF1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Times New Roman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/>
                <w:sz w:val="18"/>
                <w:szCs w:val="18"/>
                <w:lang w:val="en-US" w:eastAsia="zh-CN"/>
              </w:rPr>
              <w:t>论文</w:t>
            </w:r>
          </w:p>
        </w:tc>
        <w:tc>
          <w:tcPr>
            <w:tcW w:w="1315" w:type="dxa"/>
            <w:vAlign w:val="center"/>
          </w:tcPr>
          <w:p w14:paraId="692FEC7A">
            <w:pPr>
              <w:spacing w:before="0" w:after="0" w:line="216" w:lineRule="auto"/>
              <w:jc w:val="left"/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>降雨作用下微生物改良红黏土边坡稳定性分析</w:t>
            </w:r>
            <w:r>
              <w:rPr>
                <w:rFonts w:hint="eastAsia" w:ascii="宋体" w:hAnsi="宋体"/>
                <w:color w:val="000000"/>
                <w:sz w:val="21"/>
                <w:lang w:val="en-US" w:eastAsia="zh-CN"/>
              </w:rPr>
              <w:t>/</w:t>
            </w:r>
          </w:p>
          <w:p w14:paraId="6B561E03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</w:rPr>
            </w:pPr>
          </w:p>
        </w:tc>
        <w:tc>
          <w:tcPr>
            <w:tcW w:w="853" w:type="dxa"/>
            <w:vAlign w:val="center"/>
          </w:tcPr>
          <w:p w14:paraId="70E0CD12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中国</w:t>
            </w:r>
          </w:p>
        </w:tc>
        <w:tc>
          <w:tcPr>
            <w:tcW w:w="1173" w:type="dxa"/>
            <w:vAlign w:val="center"/>
          </w:tcPr>
          <w:p w14:paraId="076C79F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231F20"/>
                <w:kern w:val="0"/>
                <w:sz w:val="18"/>
                <w:szCs w:val="18"/>
                <w:lang w:val="en-US" w:eastAsia="zh-CN" w:bidi="ar"/>
              </w:rPr>
              <w:t>2023</w:t>
            </w:r>
            <w:r>
              <w:rPr>
                <w:rFonts w:hint="eastAsia"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>.</w:t>
            </w:r>
            <w:r>
              <w:rPr>
                <w:rFonts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231F20"/>
                <w:kern w:val="0"/>
                <w:sz w:val="18"/>
                <w:szCs w:val="18"/>
                <w:lang w:val="en-US" w:eastAsia="zh-CN" w:bidi="ar"/>
              </w:rPr>
              <w:t xml:space="preserve">43 </w:t>
            </w:r>
            <w:r>
              <w:rPr>
                <w:rFonts w:hint="default"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eastAsia"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>(</w:t>
            </w:r>
            <w:r>
              <w:rPr>
                <w:rFonts w:hint="default" w:ascii="Times New Roman" w:hAnsi="Times New Roman" w:eastAsia="宋体" w:cs="Times New Roman"/>
                <w:color w:val="231F20"/>
                <w:kern w:val="0"/>
                <w:sz w:val="18"/>
                <w:szCs w:val="18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宋体" w:cs="Times New Roman"/>
                <w:color w:val="231F20"/>
                <w:kern w:val="0"/>
                <w:sz w:val="18"/>
                <w:szCs w:val="18"/>
                <w:lang w:val="en-US" w:eastAsia="zh-CN" w:bidi="ar"/>
              </w:rPr>
              <w:t>)</w:t>
            </w:r>
            <w:r>
              <w:rPr>
                <w:rFonts w:hint="default"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eastAsia" w:ascii="汉仪书宋一简" w:hAnsi="汉仪书宋一简" w:eastAsia="汉仪书宋一简" w:cs="汉仪书宋一简"/>
                <w:color w:val="231F20"/>
                <w:kern w:val="0"/>
                <w:sz w:val="18"/>
                <w:szCs w:val="18"/>
                <w:lang w:val="en-US" w:eastAsia="zh-CN" w:bidi="ar"/>
              </w:rPr>
              <w:t>:110-119</w:t>
            </w:r>
          </w:p>
          <w:p w14:paraId="3EB53D53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</w:p>
        </w:tc>
        <w:tc>
          <w:tcPr>
            <w:tcW w:w="867" w:type="dxa"/>
            <w:vAlign w:val="center"/>
          </w:tcPr>
          <w:p w14:paraId="5CFDB44C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default" w:ascii="Times New Roman" w:hAnsi="Times New Roman" w:eastAsia="Calibri" w:cs="Times New Roman"/>
                <w:color w:val="000000"/>
                <w:sz w:val="21"/>
              </w:rPr>
            </w:pP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20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23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年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lang w:val="en-US" w:eastAsia="zh-CN"/>
              </w:rPr>
              <w:t>7</w:t>
            </w:r>
            <w:r>
              <w:rPr>
                <w:rFonts w:hint="eastAsia" w:ascii="Times New Roman" w:hAnsi="Times New Roman" w:eastAsia="Calibri" w:cs="Times New Roman"/>
                <w:color w:val="000000"/>
                <w:sz w:val="21"/>
              </w:rPr>
              <w:t>月28日</w:t>
            </w:r>
          </w:p>
        </w:tc>
        <w:tc>
          <w:tcPr>
            <w:tcW w:w="1013" w:type="dxa"/>
            <w:vAlign w:val="center"/>
          </w:tcPr>
          <w:p w14:paraId="1D16F1C7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学报</w:t>
            </w:r>
          </w:p>
        </w:tc>
        <w:tc>
          <w:tcPr>
            <w:tcW w:w="1214" w:type="dxa"/>
            <w:vAlign w:val="center"/>
          </w:tcPr>
          <w:p w14:paraId="2C263FEF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中南林业科技大学</w:t>
            </w:r>
          </w:p>
        </w:tc>
        <w:tc>
          <w:tcPr>
            <w:tcW w:w="1000" w:type="dxa"/>
            <w:vAlign w:val="center"/>
          </w:tcPr>
          <w:p w14:paraId="00D60ADE">
            <w:pPr>
              <w:spacing w:before="0" w:after="0" w:line="196" w:lineRule="auto"/>
              <w:jc w:val="left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 xml:space="preserve">周磊 </w:t>
            </w:r>
            <w:r>
              <w:rPr>
                <w:rFonts w:hint="default" w:ascii="宋体" w:hAnsi="宋体" w:eastAsia="宋体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 xml:space="preserve">，易文 </w:t>
            </w:r>
            <w:r>
              <w:rPr>
                <w:rFonts w:hint="default" w:ascii="宋体" w:hAnsi="宋体" w:eastAsia="宋体"/>
                <w:color w:val="000000"/>
                <w:sz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color w:val="000000"/>
                <w:sz w:val="21"/>
                <w:lang w:val="en-US" w:eastAsia="zh-CN"/>
              </w:rPr>
              <w:t xml:space="preserve">，江伟健 ，金丽萍 ，杨为环 </w:t>
            </w:r>
          </w:p>
          <w:p w14:paraId="0C50D4F8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</w:rPr>
            </w:pPr>
          </w:p>
        </w:tc>
        <w:tc>
          <w:tcPr>
            <w:tcW w:w="797" w:type="dxa"/>
            <w:vAlign w:val="center"/>
          </w:tcPr>
          <w:p w14:paraId="21304B90">
            <w:pPr>
              <w:pStyle w:val="3"/>
              <w:adjustRightInd w:val="0"/>
              <w:spacing w:after="50" w:line="320" w:lineRule="exact"/>
              <w:ind w:firstLine="0" w:firstLineChars="0"/>
              <w:jc w:val="left"/>
              <w:outlineLvl w:val="1"/>
              <w:rPr>
                <w:rFonts w:hint="eastAsia" w:ascii="宋体" w:hAnsi="宋体" w:eastAsia="宋体"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</w:rPr>
              <w:t>有效</w:t>
            </w:r>
            <w:r>
              <w:rPr>
                <w:rFonts w:hint="eastAsia" w:ascii="宋体" w:hAnsi="宋体" w:eastAsia="宋体"/>
                <w:color w:val="000000"/>
                <w:sz w:val="21"/>
                <w:lang w:eastAsia="zh-CN"/>
              </w:rPr>
              <w:t>其他知识产权</w:t>
            </w:r>
          </w:p>
        </w:tc>
      </w:tr>
    </w:tbl>
    <w:p w14:paraId="50EB10E4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27F0DFA5">
      <w:pPr>
        <w:keepNext w:val="0"/>
        <w:keepLines w:val="0"/>
        <w:widowControl/>
        <w:suppressLineNumbers w:val="0"/>
        <w:jc w:val="left"/>
        <w:rPr>
          <w:rFonts w:hint="eastAsia" w:eastAsia="宋体"/>
          <w:lang w:val="en-US" w:eastAsia="zh-CN"/>
        </w:rPr>
      </w:pPr>
      <w:r>
        <w:rPr>
          <w:rFonts w:hint="eastAsia"/>
          <w:b/>
          <w:bCs/>
          <w:sz w:val="28"/>
          <w:szCs w:val="28"/>
        </w:rPr>
        <w:t>五、</w:t>
      </w:r>
      <w:r>
        <w:rPr>
          <w:b/>
          <w:bCs/>
          <w:sz w:val="28"/>
          <w:szCs w:val="28"/>
        </w:rPr>
        <w:t>主要完成人</w:t>
      </w:r>
      <w:r>
        <w:rPr>
          <w:rFonts w:hint="eastAsia"/>
          <w:b/>
          <w:bCs/>
          <w:sz w:val="28"/>
          <w:szCs w:val="28"/>
        </w:rPr>
        <w:t>：</w:t>
      </w:r>
      <w:r>
        <w:rPr>
          <w:rFonts w:hint="eastAsia"/>
          <w:b/>
          <w:bCs/>
          <w:sz w:val="28"/>
          <w:szCs w:val="28"/>
          <w:lang w:eastAsia="zh-CN"/>
        </w:rPr>
        <w:t>易文，李珍玉，江学良，金丽萍，杨为环，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鲁云岗, </w:t>
      </w:r>
      <w:r>
        <w:rPr>
          <w:rFonts w:hint="eastAsia"/>
          <w:b/>
          <w:bCs/>
          <w:sz w:val="28"/>
          <w:szCs w:val="28"/>
          <w:lang w:eastAsia="zh-CN"/>
        </w:rPr>
        <w:t>杨慧，眭子凡，罗志文</w:t>
      </w:r>
    </w:p>
    <w:p w14:paraId="0118D9A8">
      <w:pPr>
        <w:spacing w:line="540" w:lineRule="exact"/>
        <w:rPr>
          <w:rFonts w:hint="eastAsia" w:eastAsia="宋体"/>
          <w:b/>
          <w:bCs/>
          <w:sz w:val="28"/>
          <w:szCs w:val="28"/>
          <w:lang w:eastAsia="zh-CN"/>
        </w:rPr>
      </w:pPr>
    </w:p>
    <w:p w14:paraId="1FF0231C">
      <w:pPr>
        <w:spacing w:line="540" w:lineRule="exact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六、主要完成单位：</w:t>
      </w:r>
      <w:r>
        <w:rPr>
          <w:rFonts w:hint="eastAsia"/>
          <w:b/>
          <w:bCs/>
          <w:sz w:val="28"/>
          <w:szCs w:val="28"/>
          <w:lang w:eastAsia="zh-CN"/>
        </w:rPr>
        <w:t>中南林业科技大学，湖南工商大学，广州航海学院，</w:t>
      </w:r>
      <w:r>
        <w:rPr>
          <w:rFonts w:hint="eastAsia"/>
          <w:b/>
          <w:bCs/>
          <w:sz w:val="28"/>
          <w:szCs w:val="28"/>
          <w:lang w:val="en-US" w:eastAsia="zh-CN"/>
        </w:rPr>
        <w:t>浙江润城环保集团股份有限公司，湖南省高速公路集团有限公司</w:t>
      </w:r>
    </w:p>
    <w:p w14:paraId="57572C7E">
      <w:pPr>
        <w:spacing w:line="540" w:lineRule="exact"/>
        <w:rPr>
          <w:rFonts w:hint="eastAsia"/>
          <w:b/>
          <w:bCs/>
          <w:sz w:val="28"/>
          <w:szCs w:val="28"/>
          <w:lang w:val="en-US" w:eastAsia="zh-CN"/>
        </w:rPr>
      </w:pPr>
    </w:p>
    <w:p w14:paraId="325702ED">
      <w:pPr>
        <w:spacing w:line="540" w:lineRule="exact"/>
        <w:rPr>
          <w:rFonts w:hint="eastAsia" w:eastAsia="宋体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备注：标题选择1种奖励类别填写，根据不同的奖励类别选择填写</w:t>
      </w:r>
      <w:r>
        <w:rPr>
          <w:rFonts w:hint="eastAsia"/>
          <w:b/>
          <w:bCs/>
          <w:sz w:val="28"/>
          <w:szCs w:val="28"/>
        </w:rPr>
        <w:t>代表作（含论文、专著）目录</w:t>
      </w:r>
      <w:r>
        <w:rPr>
          <w:rFonts w:hint="eastAsia"/>
          <w:b/>
          <w:bCs/>
          <w:sz w:val="28"/>
          <w:szCs w:val="28"/>
          <w:lang w:val="en-US" w:eastAsia="zh-CN"/>
        </w:rPr>
        <w:t>或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主要知识产权和标准规范等目录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。</w:t>
      </w:r>
    </w:p>
    <w:p w14:paraId="73980947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337C42C4">
      <w:pPr>
        <w:spacing w:line="540" w:lineRule="exact"/>
        <w:rPr>
          <w:rFonts w:hint="eastAsia" w:eastAsiaTheme="minorEastAsia"/>
          <w:b/>
          <w:bCs/>
          <w:sz w:val="28"/>
          <w:szCs w:val="28"/>
          <w:lang w:eastAsia="zh-CN"/>
        </w:rPr>
      </w:pPr>
    </w:p>
    <w:p w14:paraId="66730DEE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1C8F68F6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567305A3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7761B5F5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05621A5D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00201012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3B1A2132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5856ACA7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37AD43BC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7AF26701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41A2625B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034154DA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177DF75F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1B40B4D9">
      <w:pPr>
        <w:spacing w:line="540" w:lineRule="exact"/>
        <w:rPr>
          <w:rFonts w:hint="eastAsia"/>
          <w:b/>
          <w:bCs/>
          <w:sz w:val="28"/>
          <w:szCs w:val="28"/>
        </w:rPr>
      </w:pPr>
    </w:p>
    <w:p w14:paraId="4FB7FCEC">
      <w:pPr>
        <w:spacing w:line="540" w:lineRule="exact"/>
        <w:rPr>
          <w:rFonts w:hint="eastAsia"/>
          <w:sz w:val="28"/>
          <w:szCs w:val="28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书宋一简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766146"/>
    <w:rsid w:val="0AF652B8"/>
    <w:rsid w:val="0C7A53B8"/>
    <w:rsid w:val="14063507"/>
    <w:rsid w:val="14CF4595"/>
    <w:rsid w:val="16D12101"/>
    <w:rsid w:val="18A62B93"/>
    <w:rsid w:val="1A4A23E1"/>
    <w:rsid w:val="1BD333F0"/>
    <w:rsid w:val="1C372BF6"/>
    <w:rsid w:val="1DF15646"/>
    <w:rsid w:val="23AC4FE0"/>
    <w:rsid w:val="27671D48"/>
    <w:rsid w:val="2AB6477B"/>
    <w:rsid w:val="2B5C47AA"/>
    <w:rsid w:val="2B7140FF"/>
    <w:rsid w:val="2E6B79F9"/>
    <w:rsid w:val="364517E5"/>
    <w:rsid w:val="36B96E85"/>
    <w:rsid w:val="37C63504"/>
    <w:rsid w:val="3FB13A48"/>
    <w:rsid w:val="4329165D"/>
    <w:rsid w:val="443813AB"/>
    <w:rsid w:val="46FF25BF"/>
    <w:rsid w:val="49666014"/>
    <w:rsid w:val="4CA141EE"/>
    <w:rsid w:val="54B74AF0"/>
    <w:rsid w:val="58C61EBA"/>
    <w:rsid w:val="5C0C3F3E"/>
    <w:rsid w:val="5DC57004"/>
    <w:rsid w:val="600C6024"/>
    <w:rsid w:val="616D1550"/>
    <w:rsid w:val="61C422FC"/>
    <w:rsid w:val="63C50E0E"/>
    <w:rsid w:val="663E5640"/>
    <w:rsid w:val="66B30DAB"/>
    <w:rsid w:val="66D06703"/>
    <w:rsid w:val="67B6759E"/>
    <w:rsid w:val="68E27602"/>
    <w:rsid w:val="6A6E1A73"/>
    <w:rsid w:val="6B3A484C"/>
    <w:rsid w:val="6D376C26"/>
    <w:rsid w:val="70B64199"/>
    <w:rsid w:val="721C3014"/>
    <w:rsid w:val="72563A20"/>
    <w:rsid w:val="758D5DE2"/>
    <w:rsid w:val="77F9775E"/>
    <w:rsid w:val="7BE549CC"/>
    <w:rsid w:val="7C0539A2"/>
    <w:rsid w:val="7E000975"/>
    <w:rsid w:val="7ED86325"/>
    <w:rsid w:val="7F274A5B"/>
    <w:rsid w:val="7FF64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spacing w:after="120"/>
    </w:pPr>
  </w:style>
  <w:style w:type="paragraph" w:styleId="3">
    <w:name w:val="Plain Text"/>
    <w:basedOn w:val="1"/>
    <w:qFormat/>
    <w:uiPriority w:val="0"/>
    <w:pPr>
      <w:spacing w:line="360" w:lineRule="auto"/>
      <w:ind w:firstLine="480" w:firstLineChars="200"/>
    </w:pPr>
    <w:rPr>
      <w:rFonts w:ascii="仿宋_GB2312" w:hAnsiTheme="minorHAnsi" w:eastAsiaTheme="minorEastAsia" w:cstheme="minorBidi"/>
      <w:sz w:val="24"/>
      <w:szCs w:val="22"/>
    </w:rPr>
  </w:style>
  <w:style w:type="table" w:styleId="5">
    <w:name w:val="Table Grid"/>
    <w:basedOn w:val="4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1477</Words>
  <Characters>1757</Characters>
  <Lines>0</Lines>
  <Paragraphs>0</Paragraphs>
  <TotalTime>2</TotalTime>
  <ScaleCrop>false</ScaleCrop>
  <LinksUpToDate>false</LinksUpToDate>
  <CharactersWithSpaces>1793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2025-08-14T02:17:00Z</dcterms:created>
  <dc:creator>lenovo</dc:creator>
  <cp:lastModifiedBy>易文</cp:lastModifiedBy>
  <dcterms:modified xsi:type="dcterms:W3CDTF">2025-08-25T04:51:12Z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eyJoZGlkIjoiOTI2ZjM0MjE2YWI3N2Y2MjIzNzdiMTIyN2VkYTRmYTEiLCJ1c2VySWQiOiIzMDE2NzA2MzIifQ==</vt:lpwstr>
  </property>
  <property fmtid="{D5CDD505-2E9C-101B-9397-08002B2CF9AE}" pid="4" name="ICV">
    <vt:lpwstr>81A16DE1AB1E4D93A0E4185018BEBF1A_13</vt:lpwstr>
  </property>
</Properties>
</file>